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3A" w:rsidRDefault="00D6693A" w:rsidP="00D6693A">
      <w:pPr>
        <w:spacing w:after="0"/>
        <w:jc w:val="center"/>
        <w:rPr>
          <w:rFonts w:ascii="Calibri" w:hAnsi="Calibri" w:cs="Calibri"/>
          <w:b/>
          <w:sz w:val="28"/>
        </w:rPr>
      </w:pPr>
    </w:p>
    <w:p w:rsidR="003260D1" w:rsidRDefault="003260D1" w:rsidP="00D6693A">
      <w:pPr>
        <w:spacing w:after="0"/>
        <w:jc w:val="center"/>
        <w:rPr>
          <w:rFonts w:ascii="Calibri" w:hAnsi="Calibri" w:cs="Calibri"/>
          <w:b/>
          <w:sz w:val="28"/>
        </w:rPr>
      </w:pPr>
    </w:p>
    <w:p w:rsidR="00D6693A" w:rsidRDefault="00D6693A" w:rsidP="00D6693A">
      <w:pPr>
        <w:spacing w:after="0"/>
        <w:jc w:val="center"/>
        <w:rPr>
          <w:rFonts w:ascii="Calibri" w:hAnsi="Calibri" w:cs="Calibri"/>
          <w:b/>
          <w:sz w:val="28"/>
        </w:rPr>
      </w:pPr>
    </w:p>
    <w:p w:rsidR="00AE4EF9" w:rsidRDefault="00AE4EF9" w:rsidP="007D3C31">
      <w:pPr>
        <w:numPr>
          <w:ilvl w:val="1"/>
          <w:numId w:val="0"/>
        </w:numPr>
        <w:spacing w:after="160"/>
        <w:rPr>
          <w:rFonts w:ascii="Calibri" w:eastAsia="Times New Roman" w:hAnsi="Calibri" w:cs="Times New Roman"/>
          <w:color w:val="5A5A5A"/>
          <w:spacing w:val="15"/>
          <w:sz w:val="28"/>
          <w:szCs w:val="28"/>
        </w:rPr>
      </w:pPr>
    </w:p>
    <w:p w:rsidR="00604EEB" w:rsidRDefault="00604EEB" w:rsidP="003477BA">
      <w:pPr>
        <w:numPr>
          <w:ilvl w:val="1"/>
          <w:numId w:val="0"/>
        </w:numPr>
        <w:spacing w:after="160"/>
        <w:jc w:val="center"/>
        <w:rPr>
          <w:rFonts w:ascii="Calibri" w:eastAsia="Times New Roman" w:hAnsi="Calibri" w:cs="Times New Roman"/>
          <w:color w:val="5A5A5A"/>
          <w:spacing w:val="15"/>
          <w:sz w:val="28"/>
          <w:szCs w:val="28"/>
        </w:rPr>
      </w:pPr>
    </w:p>
    <w:p w:rsidR="00E16DEC" w:rsidRDefault="00AA58EE" w:rsidP="00E428F1">
      <w:pPr>
        <w:numPr>
          <w:ilvl w:val="1"/>
          <w:numId w:val="0"/>
        </w:numPr>
        <w:spacing w:after="160"/>
        <w:jc w:val="center"/>
        <w:rPr>
          <w:rFonts w:ascii="Calibri" w:eastAsia="Times New Roman" w:hAnsi="Calibri" w:cs="Times New Roman"/>
          <w:b/>
          <w:color w:val="5A5A5A"/>
          <w:spacing w:val="15"/>
        </w:rPr>
      </w:pPr>
      <w:r w:rsidRPr="00E16DEC">
        <w:rPr>
          <w:rFonts w:ascii="Calibri" w:eastAsia="Times New Roman" w:hAnsi="Calibri" w:cs="Times New Roman"/>
          <w:b/>
          <w:color w:val="5A5A5A"/>
          <w:spacing w:val="15"/>
          <w:sz w:val="28"/>
          <w:szCs w:val="28"/>
        </w:rPr>
        <w:t xml:space="preserve">CYTTAP </w:t>
      </w:r>
      <w:r w:rsidR="007D3C31" w:rsidRPr="00E16DEC">
        <w:rPr>
          <w:rFonts w:ascii="Calibri" w:eastAsia="Times New Roman" w:hAnsi="Calibri" w:cs="Times New Roman"/>
          <w:b/>
          <w:color w:val="5A5A5A"/>
          <w:spacing w:val="15"/>
          <w:sz w:val="28"/>
          <w:szCs w:val="28"/>
        </w:rPr>
        <w:t xml:space="preserve">School Age </w:t>
      </w:r>
      <w:r w:rsidRPr="00E16DEC">
        <w:rPr>
          <w:rFonts w:ascii="Calibri" w:eastAsia="Times New Roman" w:hAnsi="Calibri" w:cs="Times New Roman"/>
          <w:b/>
          <w:color w:val="5A5A5A"/>
          <w:spacing w:val="15"/>
          <w:sz w:val="28"/>
          <w:szCs w:val="28"/>
        </w:rPr>
        <w:t>(OST</w:t>
      </w:r>
      <w:r w:rsidR="004B0606" w:rsidRPr="00E16DEC">
        <w:rPr>
          <w:rFonts w:ascii="Calibri" w:eastAsia="Times New Roman" w:hAnsi="Calibri" w:cs="Times New Roman"/>
          <w:b/>
          <w:color w:val="5A5A5A"/>
          <w:spacing w:val="15"/>
          <w:sz w:val="28"/>
          <w:szCs w:val="28"/>
        </w:rPr>
        <w:t xml:space="preserve">) </w:t>
      </w:r>
      <w:r w:rsidR="007D3C31" w:rsidRPr="00E16DEC">
        <w:rPr>
          <w:rFonts w:ascii="Calibri" w:eastAsia="Times New Roman" w:hAnsi="Calibri" w:cs="Times New Roman"/>
          <w:b/>
          <w:color w:val="5A5A5A"/>
          <w:spacing w:val="15"/>
          <w:sz w:val="28"/>
          <w:szCs w:val="28"/>
        </w:rPr>
        <w:t>Curriculum</w:t>
      </w:r>
      <w:r w:rsidR="004B0606" w:rsidRPr="00E16DEC">
        <w:rPr>
          <w:rFonts w:ascii="Calibri" w:eastAsia="Times New Roman" w:hAnsi="Calibri" w:cs="Times New Roman"/>
          <w:b/>
          <w:color w:val="5A5A5A"/>
          <w:spacing w:val="15"/>
          <w:sz w:val="28"/>
          <w:szCs w:val="28"/>
        </w:rPr>
        <w:t xml:space="preserve"> Options</w:t>
      </w:r>
    </w:p>
    <w:p w:rsidR="00E16DEC" w:rsidRPr="00E16DEC" w:rsidRDefault="00E16DEC" w:rsidP="00E428F1">
      <w:pPr>
        <w:numPr>
          <w:ilvl w:val="1"/>
          <w:numId w:val="0"/>
        </w:numPr>
        <w:spacing w:after="160"/>
        <w:jc w:val="center"/>
        <w:rPr>
          <w:rFonts w:ascii="Calibri" w:eastAsia="Times New Roman" w:hAnsi="Calibri" w:cs="Times New Roman"/>
          <w:b/>
          <w:color w:val="5A5A5A"/>
          <w:spacing w:val="15"/>
        </w:rPr>
      </w:pPr>
    </w:p>
    <w:p w:rsidR="00AC444E" w:rsidRDefault="00A37500" w:rsidP="00A37500">
      <w:pPr>
        <w:pStyle w:val="ListParagraph"/>
        <w:spacing w:before="100" w:beforeAutospacing="1" w:after="100" w:afterAutospacing="1"/>
        <w:ind w:left="360"/>
        <w:rPr>
          <w:rFonts w:ascii="Arial" w:eastAsia="Times New Roman" w:hAnsi="Arial" w:cs="Arial"/>
          <w:b/>
          <w:color w:val="000000"/>
          <w:sz w:val="22"/>
          <w:szCs w:val="22"/>
        </w:rPr>
      </w:pPr>
      <w:r>
        <w:rPr>
          <w:rFonts w:ascii="Arial" w:eastAsia="Times New Roman" w:hAnsi="Arial" w:cs="Arial"/>
          <w:b/>
          <w:color w:val="000000"/>
          <w:sz w:val="22"/>
          <w:szCs w:val="22"/>
        </w:rPr>
        <w:t>Reading Make Cents</w:t>
      </w:r>
    </w:p>
    <w:p w:rsidR="00A37500" w:rsidRDefault="00A37500" w:rsidP="00A37500">
      <w:pPr>
        <w:pStyle w:val="ListParagraph"/>
        <w:spacing w:before="100" w:beforeAutospacing="1" w:after="100" w:afterAutospacing="1"/>
        <w:ind w:left="360"/>
        <w:rPr>
          <w:rFonts w:ascii="Arial" w:eastAsia="Times New Roman" w:hAnsi="Arial" w:cs="Arial"/>
          <w:b/>
          <w:color w:val="000000"/>
          <w:sz w:val="22"/>
          <w:szCs w:val="22"/>
        </w:rPr>
      </w:pPr>
      <w:r w:rsidRPr="00A37500">
        <w:rPr>
          <w:rFonts w:ascii="Arial" w:eastAsia="Times New Roman" w:hAnsi="Arial" w:cs="Arial"/>
          <w:b/>
          <w:color w:val="000000"/>
          <w:sz w:val="22"/>
          <w:szCs w:val="22"/>
        </w:rPr>
        <w:t>Power of</w:t>
      </w:r>
      <w:r w:rsidR="002A2742">
        <w:rPr>
          <w:rFonts w:ascii="Arial" w:eastAsia="Times New Roman" w:hAnsi="Arial" w:cs="Arial"/>
          <w:b/>
          <w:color w:val="000000"/>
          <w:sz w:val="22"/>
          <w:szCs w:val="22"/>
        </w:rPr>
        <w:t xml:space="preserve"> the</w:t>
      </w:r>
      <w:r w:rsidRPr="00A37500">
        <w:rPr>
          <w:rFonts w:ascii="Arial" w:eastAsia="Times New Roman" w:hAnsi="Arial" w:cs="Arial"/>
          <w:b/>
          <w:color w:val="000000"/>
          <w:sz w:val="22"/>
          <w:szCs w:val="22"/>
        </w:rPr>
        <w:t xml:space="preserve"> Wind</w:t>
      </w:r>
    </w:p>
    <w:p w:rsidR="00AC444E" w:rsidRDefault="00AC444E" w:rsidP="00A37500">
      <w:pPr>
        <w:pStyle w:val="ListParagraph"/>
        <w:spacing w:before="100" w:beforeAutospacing="1" w:after="100" w:afterAutospacing="1"/>
        <w:ind w:left="360"/>
        <w:rPr>
          <w:rFonts w:ascii="Arial" w:eastAsia="Times New Roman" w:hAnsi="Arial" w:cs="Arial"/>
          <w:b/>
          <w:color w:val="000000"/>
          <w:sz w:val="22"/>
          <w:szCs w:val="22"/>
        </w:rPr>
      </w:pPr>
      <w:r>
        <w:rPr>
          <w:rFonts w:ascii="Arial" w:eastAsia="Times New Roman" w:hAnsi="Arial" w:cs="Arial"/>
          <w:b/>
          <w:color w:val="000000"/>
          <w:sz w:val="22"/>
          <w:szCs w:val="22"/>
        </w:rPr>
        <w:t>Essential Elements</w:t>
      </w:r>
    </w:p>
    <w:p w:rsidR="00AC444E" w:rsidRDefault="00AC444E" w:rsidP="00A37500">
      <w:pPr>
        <w:pStyle w:val="ListParagraph"/>
        <w:spacing w:before="100" w:beforeAutospacing="1" w:after="100" w:afterAutospacing="1"/>
        <w:ind w:left="360"/>
        <w:rPr>
          <w:rFonts w:ascii="Arial" w:eastAsia="Times New Roman" w:hAnsi="Arial" w:cs="Arial"/>
          <w:b/>
          <w:color w:val="000000"/>
          <w:sz w:val="22"/>
          <w:szCs w:val="22"/>
        </w:rPr>
      </w:pPr>
      <w:r>
        <w:rPr>
          <w:rFonts w:ascii="Arial" w:eastAsia="Times New Roman" w:hAnsi="Arial" w:cs="Arial"/>
          <w:b/>
          <w:color w:val="000000"/>
          <w:sz w:val="22"/>
          <w:szCs w:val="22"/>
        </w:rPr>
        <w:t>Learn, Grow, Eat, and Go</w:t>
      </w:r>
      <w:r w:rsidR="00481151">
        <w:rPr>
          <w:rFonts w:ascii="Arial" w:eastAsia="Times New Roman" w:hAnsi="Arial" w:cs="Arial"/>
          <w:b/>
          <w:color w:val="000000"/>
          <w:sz w:val="22"/>
          <w:szCs w:val="22"/>
        </w:rPr>
        <w:t xml:space="preserve"> (Junior Master Gardener)</w:t>
      </w:r>
      <w:bookmarkStart w:id="0" w:name="_GoBack"/>
      <w:bookmarkEnd w:id="0"/>
    </w:p>
    <w:p w:rsidR="00A37500" w:rsidRDefault="00A37500" w:rsidP="00A37500">
      <w:pPr>
        <w:pStyle w:val="ListParagraph"/>
        <w:spacing w:before="100" w:beforeAutospacing="1" w:after="100" w:afterAutospacing="1"/>
        <w:ind w:left="360"/>
        <w:rPr>
          <w:rFonts w:ascii="Arial" w:eastAsia="Times New Roman" w:hAnsi="Arial" w:cs="Arial"/>
          <w:b/>
          <w:color w:val="000000"/>
          <w:sz w:val="22"/>
          <w:szCs w:val="22"/>
        </w:rPr>
      </w:pPr>
    </w:p>
    <w:p w:rsidR="00A37500" w:rsidRPr="00A37500" w:rsidRDefault="00A37500" w:rsidP="00A37500">
      <w:pPr>
        <w:pStyle w:val="ListParagraph"/>
        <w:numPr>
          <w:ilvl w:val="0"/>
          <w:numId w:val="19"/>
        </w:numPr>
        <w:spacing w:before="100" w:beforeAutospacing="1" w:after="100" w:afterAutospacing="1"/>
        <w:rPr>
          <w:rFonts w:ascii="Arial" w:eastAsia="Times New Roman" w:hAnsi="Arial" w:cs="Arial"/>
          <w:color w:val="000000"/>
          <w:sz w:val="22"/>
          <w:szCs w:val="22"/>
        </w:rPr>
      </w:pPr>
      <w:r w:rsidRPr="00A37500">
        <w:rPr>
          <w:rFonts w:ascii="Arial" w:eastAsia="Times New Roman" w:hAnsi="Arial" w:cs="Arial"/>
          <w:color w:val="000000"/>
          <w:sz w:val="22"/>
          <w:szCs w:val="22"/>
        </w:rPr>
        <w:t xml:space="preserve">Training of Trainers </w:t>
      </w:r>
      <w:r w:rsidR="00D90CAD">
        <w:rPr>
          <w:rFonts w:ascii="Arial" w:eastAsia="Times New Roman" w:hAnsi="Arial" w:cs="Arial"/>
          <w:color w:val="000000"/>
          <w:sz w:val="22"/>
          <w:szCs w:val="22"/>
        </w:rPr>
        <w:t xml:space="preserve"> - Avai</w:t>
      </w:r>
      <w:r w:rsidR="00C852D7">
        <w:rPr>
          <w:rFonts w:ascii="Arial" w:eastAsia="Times New Roman" w:hAnsi="Arial" w:cs="Arial"/>
          <w:color w:val="000000"/>
          <w:sz w:val="22"/>
          <w:szCs w:val="22"/>
        </w:rPr>
        <w:t>lable</w:t>
      </w:r>
      <w:r w:rsidR="00D90CAD">
        <w:rPr>
          <w:rFonts w:ascii="Arial" w:eastAsia="Times New Roman" w:hAnsi="Arial" w:cs="Arial"/>
          <w:color w:val="000000"/>
          <w:sz w:val="22"/>
          <w:szCs w:val="22"/>
        </w:rPr>
        <w:t xml:space="preserve"> to all states </w:t>
      </w:r>
    </w:p>
    <w:p w:rsidR="00E50838" w:rsidRDefault="00E50838" w:rsidP="00A37500">
      <w:pPr>
        <w:pStyle w:val="ListParagraph"/>
        <w:numPr>
          <w:ilvl w:val="1"/>
          <w:numId w:val="19"/>
        </w:numPr>
        <w:spacing w:before="100" w:beforeAutospacing="1" w:after="100" w:afterAutospacing="1"/>
        <w:rPr>
          <w:rFonts w:ascii="Arial" w:eastAsia="Times New Roman" w:hAnsi="Arial" w:cs="Arial"/>
          <w:color w:val="000000"/>
          <w:sz w:val="22"/>
          <w:szCs w:val="22"/>
        </w:rPr>
      </w:pPr>
      <w:r w:rsidRPr="00E50838">
        <w:rPr>
          <w:rFonts w:ascii="Arial" w:eastAsia="Times New Roman" w:hAnsi="Arial" w:cs="Arial"/>
          <w:color w:val="000000"/>
          <w:sz w:val="22"/>
          <w:szCs w:val="22"/>
        </w:rPr>
        <w:t xml:space="preserve">Trainers would </w:t>
      </w:r>
      <w:r w:rsidR="00AC444E">
        <w:rPr>
          <w:rFonts w:ascii="Arial" w:eastAsia="Times New Roman" w:hAnsi="Arial" w:cs="Arial"/>
          <w:color w:val="000000"/>
          <w:sz w:val="22"/>
          <w:szCs w:val="22"/>
        </w:rPr>
        <w:t>participate in a f</w:t>
      </w:r>
      <w:r w:rsidR="00887EB8">
        <w:rPr>
          <w:rFonts w:ascii="Arial" w:eastAsia="Times New Roman" w:hAnsi="Arial" w:cs="Arial"/>
          <w:color w:val="000000"/>
          <w:sz w:val="22"/>
          <w:szCs w:val="22"/>
        </w:rPr>
        <w:t>ace-to-face training</w:t>
      </w:r>
      <w:r w:rsidR="00E428F1">
        <w:rPr>
          <w:rFonts w:ascii="Arial" w:eastAsia="Times New Roman" w:hAnsi="Arial" w:cs="Arial"/>
          <w:color w:val="000000"/>
          <w:sz w:val="22"/>
          <w:szCs w:val="22"/>
        </w:rPr>
        <w:t xml:space="preserve">.  </w:t>
      </w:r>
      <w:r w:rsidR="00604EEB">
        <w:rPr>
          <w:rFonts w:ascii="Arial" w:eastAsia="Times New Roman" w:hAnsi="Arial" w:cs="Arial"/>
          <w:color w:val="000000"/>
          <w:sz w:val="22"/>
          <w:szCs w:val="22"/>
        </w:rPr>
        <w:t>Those attending the training</w:t>
      </w:r>
      <w:r w:rsidRPr="00E50838">
        <w:rPr>
          <w:rFonts w:ascii="Arial" w:eastAsia="Times New Roman" w:hAnsi="Arial" w:cs="Arial"/>
          <w:color w:val="000000"/>
          <w:sz w:val="22"/>
          <w:szCs w:val="22"/>
        </w:rPr>
        <w:t xml:space="preserve"> would get the curriculum</w:t>
      </w:r>
      <w:r w:rsidR="00E428F1">
        <w:rPr>
          <w:rFonts w:ascii="Arial" w:eastAsia="Times New Roman" w:hAnsi="Arial" w:cs="Arial"/>
          <w:color w:val="000000"/>
          <w:sz w:val="22"/>
          <w:szCs w:val="22"/>
        </w:rPr>
        <w:t xml:space="preserve"> and a training kit </w:t>
      </w:r>
      <w:r w:rsidRPr="00E50838">
        <w:rPr>
          <w:rFonts w:ascii="Arial" w:eastAsia="Times New Roman" w:hAnsi="Arial" w:cs="Arial"/>
          <w:color w:val="000000"/>
          <w:sz w:val="22"/>
          <w:szCs w:val="22"/>
        </w:rPr>
        <w:t>at no cost</w:t>
      </w:r>
      <w:r w:rsidR="00AA58EE">
        <w:rPr>
          <w:rFonts w:ascii="Arial" w:eastAsia="Times New Roman" w:hAnsi="Arial" w:cs="Arial"/>
          <w:color w:val="000000"/>
          <w:sz w:val="22"/>
          <w:szCs w:val="22"/>
        </w:rPr>
        <w:t>.</w:t>
      </w:r>
      <w:r w:rsidR="00D90CAD">
        <w:rPr>
          <w:rFonts w:ascii="Arial" w:eastAsia="Times New Roman" w:hAnsi="Arial" w:cs="Arial"/>
          <w:color w:val="000000"/>
          <w:sz w:val="22"/>
          <w:szCs w:val="22"/>
        </w:rPr>
        <w:t xml:space="preserve">  </w:t>
      </w:r>
    </w:p>
    <w:p w:rsidR="00887EB8" w:rsidRDefault="00887EB8" w:rsidP="00A37500">
      <w:pPr>
        <w:pStyle w:val="ListParagraph"/>
        <w:numPr>
          <w:ilvl w:val="1"/>
          <w:numId w:val="19"/>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TOTs Training </w:t>
      </w:r>
    </w:p>
    <w:p w:rsidR="00887EB8" w:rsidRDefault="00887EB8" w:rsidP="00887EB8">
      <w:pPr>
        <w:pStyle w:val="ListParagraph"/>
        <w:numPr>
          <w:ilvl w:val="2"/>
          <w:numId w:val="19"/>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Reading Makes Sense - </w:t>
      </w:r>
      <w:r>
        <w:rPr>
          <w:rFonts w:ascii="Arial" w:eastAsia="Times New Roman" w:hAnsi="Arial" w:cs="Arial"/>
          <w:color w:val="000000"/>
          <w:sz w:val="22"/>
          <w:szCs w:val="22"/>
        </w:rPr>
        <w:tab/>
      </w:r>
      <w:r>
        <w:rPr>
          <w:rFonts w:ascii="Arial" w:eastAsia="Times New Roman" w:hAnsi="Arial" w:cs="Arial"/>
          <w:color w:val="000000"/>
          <w:sz w:val="22"/>
          <w:szCs w:val="22"/>
        </w:rPr>
        <w:tab/>
        <w:t>½ day</w:t>
      </w:r>
    </w:p>
    <w:p w:rsidR="00887EB8" w:rsidRDefault="00887EB8" w:rsidP="00887EB8">
      <w:pPr>
        <w:pStyle w:val="ListParagraph"/>
        <w:numPr>
          <w:ilvl w:val="2"/>
          <w:numId w:val="19"/>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Power of the Wind - </w:t>
      </w:r>
      <w:r>
        <w:rPr>
          <w:rFonts w:ascii="Arial" w:eastAsia="Times New Roman" w:hAnsi="Arial" w:cs="Arial"/>
          <w:color w:val="000000"/>
          <w:sz w:val="22"/>
          <w:szCs w:val="22"/>
        </w:rPr>
        <w:tab/>
      </w:r>
      <w:r>
        <w:rPr>
          <w:rFonts w:ascii="Arial" w:eastAsia="Times New Roman" w:hAnsi="Arial" w:cs="Arial"/>
          <w:color w:val="000000"/>
          <w:sz w:val="22"/>
          <w:szCs w:val="22"/>
        </w:rPr>
        <w:tab/>
        <w:t>½ day</w:t>
      </w:r>
    </w:p>
    <w:p w:rsidR="00887EB8" w:rsidRDefault="00887EB8" w:rsidP="00887EB8">
      <w:pPr>
        <w:pStyle w:val="ListParagraph"/>
        <w:numPr>
          <w:ilvl w:val="2"/>
          <w:numId w:val="19"/>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Essential Elements - </w:t>
      </w:r>
      <w:r>
        <w:rPr>
          <w:rFonts w:ascii="Arial" w:eastAsia="Times New Roman" w:hAnsi="Arial" w:cs="Arial"/>
          <w:color w:val="000000"/>
          <w:sz w:val="22"/>
          <w:szCs w:val="22"/>
        </w:rPr>
        <w:tab/>
      </w:r>
      <w:r>
        <w:rPr>
          <w:rFonts w:ascii="Arial" w:eastAsia="Times New Roman" w:hAnsi="Arial" w:cs="Arial"/>
          <w:color w:val="000000"/>
          <w:sz w:val="22"/>
          <w:szCs w:val="22"/>
        </w:rPr>
        <w:tab/>
        <w:t>½ day</w:t>
      </w:r>
    </w:p>
    <w:p w:rsidR="00887EB8" w:rsidRPr="00E50838" w:rsidRDefault="00887EB8" w:rsidP="00887EB8">
      <w:pPr>
        <w:pStyle w:val="ListParagraph"/>
        <w:numPr>
          <w:ilvl w:val="2"/>
          <w:numId w:val="19"/>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Learn, Grow, Eat and Go -</w:t>
      </w:r>
      <w:r>
        <w:rPr>
          <w:rFonts w:ascii="Arial" w:eastAsia="Times New Roman" w:hAnsi="Arial" w:cs="Arial"/>
          <w:color w:val="000000"/>
          <w:sz w:val="22"/>
          <w:szCs w:val="22"/>
        </w:rPr>
        <w:tab/>
        <w:t>6 hours</w:t>
      </w:r>
    </w:p>
    <w:p w:rsidR="00E50838" w:rsidRPr="00E50838" w:rsidRDefault="00E50838" w:rsidP="00E50838">
      <w:pPr>
        <w:pStyle w:val="ListParagraph"/>
        <w:spacing w:before="100" w:beforeAutospacing="1" w:after="100" w:afterAutospacing="1"/>
        <w:ind w:left="1800"/>
        <w:rPr>
          <w:rFonts w:ascii="Arial" w:eastAsia="Times New Roman" w:hAnsi="Arial" w:cs="Arial"/>
          <w:color w:val="000000"/>
          <w:sz w:val="22"/>
          <w:szCs w:val="22"/>
        </w:rPr>
      </w:pPr>
    </w:p>
    <w:p w:rsidR="00E50838" w:rsidRPr="00E50838" w:rsidRDefault="00E50838" w:rsidP="00E50838">
      <w:pPr>
        <w:pStyle w:val="ListParagraph"/>
        <w:numPr>
          <w:ilvl w:val="0"/>
          <w:numId w:val="16"/>
        </w:numPr>
        <w:spacing w:before="100" w:beforeAutospacing="1" w:after="100" w:afterAutospacing="1"/>
        <w:rPr>
          <w:rFonts w:ascii="Arial" w:eastAsia="Times New Roman" w:hAnsi="Arial" w:cs="Arial"/>
          <w:color w:val="000000"/>
          <w:sz w:val="22"/>
          <w:szCs w:val="22"/>
        </w:rPr>
      </w:pPr>
      <w:r w:rsidRPr="00E50838">
        <w:rPr>
          <w:rFonts w:ascii="Arial" w:eastAsia="Times New Roman" w:hAnsi="Arial" w:cs="Arial"/>
          <w:color w:val="000000"/>
          <w:sz w:val="22"/>
          <w:szCs w:val="22"/>
        </w:rPr>
        <w:t>Direct Provider Training</w:t>
      </w:r>
      <w:r w:rsidR="00D90CAD">
        <w:rPr>
          <w:rFonts w:ascii="Arial" w:eastAsia="Times New Roman" w:hAnsi="Arial" w:cs="Arial"/>
          <w:color w:val="000000"/>
          <w:sz w:val="22"/>
          <w:szCs w:val="22"/>
        </w:rPr>
        <w:t xml:space="preserve"> </w:t>
      </w:r>
    </w:p>
    <w:p w:rsidR="003477BA" w:rsidRPr="00887EB8" w:rsidRDefault="00E50838" w:rsidP="00092F0B">
      <w:pPr>
        <w:pStyle w:val="ListParagraph"/>
        <w:numPr>
          <w:ilvl w:val="0"/>
          <w:numId w:val="17"/>
        </w:numPr>
        <w:spacing w:before="100" w:beforeAutospacing="1" w:after="0" w:afterAutospacing="1"/>
        <w:rPr>
          <w:rFonts w:ascii="Arial" w:eastAsia="Calibri" w:hAnsi="Arial" w:cs="Arial"/>
          <w:i/>
          <w:sz w:val="22"/>
          <w:szCs w:val="22"/>
        </w:rPr>
      </w:pPr>
      <w:r w:rsidRPr="00887EB8">
        <w:rPr>
          <w:rFonts w:ascii="Arial" w:eastAsia="Times New Roman" w:hAnsi="Arial" w:cs="Arial"/>
          <w:color w:val="000000"/>
          <w:sz w:val="22"/>
          <w:szCs w:val="22"/>
        </w:rPr>
        <w:t>Trainers would provide</w:t>
      </w:r>
      <w:r w:rsidR="00AA58EE" w:rsidRPr="00887EB8">
        <w:rPr>
          <w:rFonts w:ascii="Arial" w:eastAsia="Times New Roman" w:hAnsi="Arial" w:cs="Arial"/>
          <w:color w:val="000000"/>
          <w:sz w:val="22"/>
          <w:szCs w:val="22"/>
        </w:rPr>
        <w:t xml:space="preserve"> F2F</w:t>
      </w:r>
      <w:r w:rsidRPr="00887EB8">
        <w:rPr>
          <w:rFonts w:ascii="Arial" w:eastAsia="Times New Roman" w:hAnsi="Arial" w:cs="Arial"/>
          <w:color w:val="000000"/>
          <w:sz w:val="22"/>
          <w:szCs w:val="22"/>
        </w:rPr>
        <w:t xml:space="preserve"> direct provider training </w:t>
      </w:r>
      <w:r w:rsidR="00805BA9" w:rsidRPr="00887EB8">
        <w:rPr>
          <w:rFonts w:ascii="Arial" w:eastAsia="Times New Roman" w:hAnsi="Arial" w:cs="Arial"/>
          <w:color w:val="000000"/>
          <w:sz w:val="22"/>
          <w:szCs w:val="22"/>
        </w:rPr>
        <w:t xml:space="preserve">in </w:t>
      </w:r>
      <w:r w:rsidRPr="00887EB8">
        <w:rPr>
          <w:rFonts w:ascii="Arial" w:eastAsia="Times New Roman" w:hAnsi="Arial" w:cs="Arial"/>
          <w:color w:val="000000"/>
          <w:sz w:val="22"/>
          <w:szCs w:val="22"/>
        </w:rPr>
        <w:t xml:space="preserve">at least </w:t>
      </w:r>
      <w:r w:rsidR="00A37500" w:rsidRPr="00887EB8">
        <w:rPr>
          <w:rFonts w:ascii="Arial" w:eastAsia="Times New Roman" w:hAnsi="Arial" w:cs="Arial"/>
          <w:color w:val="000000"/>
          <w:sz w:val="22"/>
          <w:szCs w:val="22"/>
        </w:rPr>
        <w:t>two</w:t>
      </w:r>
      <w:r w:rsidRPr="00887EB8">
        <w:rPr>
          <w:rFonts w:ascii="Arial" w:eastAsia="Times New Roman" w:hAnsi="Arial" w:cs="Arial"/>
          <w:color w:val="000000"/>
          <w:sz w:val="22"/>
          <w:szCs w:val="22"/>
        </w:rPr>
        <w:t xml:space="preserve"> locations in </w:t>
      </w:r>
      <w:r w:rsidR="00E16DEC" w:rsidRPr="00887EB8">
        <w:rPr>
          <w:rFonts w:ascii="Arial" w:eastAsia="Times New Roman" w:hAnsi="Arial" w:cs="Arial"/>
          <w:color w:val="000000"/>
          <w:sz w:val="22"/>
          <w:szCs w:val="22"/>
        </w:rPr>
        <w:t>designated</w:t>
      </w:r>
      <w:r w:rsidRPr="00887EB8">
        <w:rPr>
          <w:rFonts w:ascii="Arial" w:eastAsia="Times New Roman" w:hAnsi="Arial" w:cs="Arial"/>
          <w:color w:val="000000"/>
          <w:sz w:val="22"/>
          <w:szCs w:val="22"/>
        </w:rPr>
        <w:t xml:space="preserve"> counties.  </w:t>
      </w:r>
      <w:r w:rsidR="00AA58EE" w:rsidRPr="00887EB8">
        <w:rPr>
          <w:rFonts w:ascii="Arial" w:eastAsia="Times New Roman" w:hAnsi="Arial" w:cs="Arial"/>
          <w:color w:val="000000"/>
          <w:sz w:val="22"/>
          <w:szCs w:val="22"/>
        </w:rPr>
        <w:t xml:space="preserve">Trainers would be eligible to receive curriculum for </w:t>
      </w:r>
      <w:r w:rsidR="00E16DEC" w:rsidRPr="00887EB8">
        <w:rPr>
          <w:rFonts w:ascii="Arial" w:eastAsia="Times New Roman" w:hAnsi="Arial" w:cs="Arial"/>
          <w:color w:val="000000"/>
          <w:sz w:val="22"/>
          <w:szCs w:val="22"/>
        </w:rPr>
        <w:t xml:space="preserve">the training, at no cost, for </w:t>
      </w:r>
      <w:r w:rsidR="00AA58EE" w:rsidRPr="00887EB8">
        <w:rPr>
          <w:rFonts w:ascii="Arial" w:eastAsia="Times New Roman" w:hAnsi="Arial" w:cs="Arial"/>
          <w:color w:val="000000"/>
          <w:sz w:val="22"/>
          <w:szCs w:val="22"/>
        </w:rPr>
        <w:t xml:space="preserve">each </w:t>
      </w:r>
      <w:r w:rsidR="00E16DEC" w:rsidRPr="00887EB8">
        <w:rPr>
          <w:rFonts w:ascii="Arial" w:eastAsia="Times New Roman" w:hAnsi="Arial" w:cs="Arial"/>
          <w:color w:val="000000"/>
          <w:sz w:val="22"/>
          <w:szCs w:val="22"/>
        </w:rPr>
        <w:t xml:space="preserve">registered </w:t>
      </w:r>
      <w:r w:rsidR="00AA58EE" w:rsidRPr="00887EB8">
        <w:rPr>
          <w:rFonts w:ascii="Arial" w:eastAsia="Times New Roman" w:hAnsi="Arial" w:cs="Arial"/>
          <w:color w:val="000000"/>
          <w:sz w:val="22"/>
          <w:szCs w:val="22"/>
        </w:rPr>
        <w:t>front-line staff</w:t>
      </w:r>
      <w:r w:rsidR="00E16DEC" w:rsidRPr="00887EB8">
        <w:rPr>
          <w:rFonts w:ascii="Arial" w:eastAsia="Times New Roman" w:hAnsi="Arial" w:cs="Arial"/>
          <w:color w:val="000000"/>
          <w:sz w:val="22"/>
          <w:szCs w:val="22"/>
        </w:rPr>
        <w:t>.</w:t>
      </w:r>
    </w:p>
    <w:p w:rsidR="005F4A99" w:rsidRDefault="00A37500" w:rsidP="005F4A99">
      <w:pPr>
        <w:spacing w:after="0"/>
        <w:ind w:left="720" w:hanging="360"/>
        <w:rPr>
          <w:rFonts w:ascii="Arial" w:eastAsia="Calibri" w:hAnsi="Arial" w:cs="Arial"/>
          <w:b/>
          <w:sz w:val="22"/>
          <w:szCs w:val="22"/>
        </w:rPr>
      </w:pPr>
      <w:r w:rsidRPr="00A37500">
        <w:rPr>
          <w:rFonts w:ascii="Arial" w:eastAsia="Calibri" w:hAnsi="Arial" w:cs="Arial"/>
          <w:b/>
          <w:sz w:val="22"/>
          <w:szCs w:val="22"/>
        </w:rPr>
        <w:t>Click2SciencePD</w:t>
      </w:r>
    </w:p>
    <w:p w:rsidR="00A37500" w:rsidRPr="005F4A99" w:rsidRDefault="00A37500" w:rsidP="005F4A99">
      <w:pPr>
        <w:pStyle w:val="ListParagraph"/>
        <w:numPr>
          <w:ilvl w:val="0"/>
          <w:numId w:val="16"/>
        </w:numPr>
        <w:spacing w:after="0"/>
        <w:rPr>
          <w:rFonts w:ascii="Arial" w:eastAsia="Calibri" w:hAnsi="Arial" w:cs="Arial"/>
          <w:b/>
          <w:sz w:val="22"/>
          <w:szCs w:val="22"/>
        </w:rPr>
      </w:pPr>
      <w:r w:rsidRPr="005F4A99">
        <w:rPr>
          <w:rFonts w:ascii="Arial" w:eastAsia="Calibri" w:hAnsi="Arial" w:cs="Arial"/>
          <w:sz w:val="22"/>
          <w:szCs w:val="22"/>
        </w:rPr>
        <w:t xml:space="preserve">Training of Trainers </w:t>
      </w:r>
      <w:r w:rsidR="00C852D7" w:rsidRPr="005F4A99">
        <w:rPr>
          <w:rFonts w:ascii="Arial" w:eastAsia="Calibri" w:hAnsi="Arial" w:cs="Arial"/>
          <w:sz w:val="22"/>
          <w:szCs w:val="22"/>
        </w:rPr>
        <w:t xml:space="preserve">- </w:t>
      </w:r>
      <w:r w:rsidR="00887EB8" w:rsidRPr="005F4A99">
        <w:rPr>
          <w:rFonts w:ascii="Arial" w:eastAsia="Times New Roman" w:hAnsi="Arial" w:cs="Arial"/>
          <w:color w:val="000000"/>
          <w:sz w:val="22"/>
          <w:szCs w:val="22"/>
        </w:rPr>
        <w:t xml:space="preserve">Available to all states.  </w:t>
      </w:r>
      <w:r w:rsidRPr="005F4A99">
        <w:rPr>
          <w:rFonts w:ascii="Arial" w:eastAsia="Calibri" w:hAnsi="Arial" w:cs="Arial"/>
          <w:sz w:val="22"/>
          <w:szCs w:val="22"/>
        </w:rPr>
        <w:t xml:space="preserve">Trainers would participate </w:t>
      </w:r>
      <w:r w:rsidR="00887EB8" w:rsidRPr="005F4A99">
        <w:rPr>
          <w:rFonts w:ascii="Arial" w:eastAsia="Calibri" w:hAnsi="Arial" w:cs="Arial"/>
          <w:sz w:val="22"/>
          <w:szCs w:val="22"/>
        </w:rPr>
        <w:t xml:space="preserve">in training </w:t>
      </w:r>
      <w:r w:rsidRPr="005F4A99">
        <w:rPr>
          <w:rFonts w:ascii="Arial" w:eastAsia="Calibri" w:hAnsi="Arial" w:cs="Arial"/>
          <w:sz w:val="22"/>
          <w:szCs w:val="22"/>
        </w:rPr>
        <w:t>on how to utilize Click resources.</w:t>
      </w:r>
    </w:p>
    <w:p w:rsidR="00A37500" w:rsidRDefault="00A37500" w:rsidP="00A37500">
      <w:pPr>
        <w:pStyle w:val="ListParagraph"/>
        <w:spacing w:before="100" w:beforeAutospacing="1" w:after="0" w:afterAutospacing="1"/>
        <w:ind w:left="1080"/>
        <w:rPr>
          <w:rFonts w:ascii="Arial" w:eastAsia="Calibri" w:hAnsi="Arial" w:cs="Arial"/>
          <w:sz w:val="22"/>
          <w:szCs w:val="22"/>
        </w:rPr>
      </w:pPr>
    </w:p>
    <w:p w:rsidR="00A37500" w:rsidRDefault="00A37500" w:rsidP="00A37500">
      <w:pPr>
        <w:pStyle w:val="ListParagraph"/>
        <w:numPr>
          <w:ilvl w:val="0"/>
          <w:numId w:val="16"/>
        </w:numPr>
        <w:spacing w:before="100" w:beforeAutospacing="1" w:after="0" w:afterAutospacing="1"/>
        <w:rPr>
          <w:rFonts w:ascii="Arial" w:eastAsia="Calibri" w:hAnsi="Arial" w:cs="Arial"/>
          <w:sz w:val="22"/>
          <w:szCs w:val="22"/>
        </w:rPr>
      </w:pPr>
      <w:r>
        <w:rPr>
          <w:rFonts w:ascii="Arial" w:eastAsia="Calibri" w:hAnsi="Arial" w:cs="Arial"/>
          <w:sz w:val="22"/>
          <w:szCs w:val="22"/>
        </w:rPr>
        <w:t xml:space="preserve">Direct Provider Training </w:t>
      </w:r>
      <w:r w:rsidR="005F4A99">
        <w:rPr>
          <w:rFonts w:ascii="Arial" w:eastAsia="Calibri" w:hAnsi="Arial" w:cs="Arial"/>
          <w:sz w:val="22"/>
          <w:szCs w:val="22"/>
        </w:rPr>
        <w:t xml:space="preserve"> </w:t>
      </w:r>
    </w:p>
    <w:p w:rsidR="00A37500" w:rsidRPr="00A37500" w:rsidRDefault="00A37500" w:rsidP="00A54F73">
      <w:pPr>
        <w:pStyle w:val="ListParagraph"/>
        <w:numPr>
          <w:ilvl w:val="1"/>
          <w:numId w:val="19"/>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Trainers would provide F2F direct provider training in at least two locations in targeted counties. </w:t>
      </w:r>
    </w:p>
    <w:p w:rsidR="00AA58EE" w:rsidRDefault="00AA58EE" w:rsidP="00AA58EE">
      <w:pPr>
        <w:pStyle w:val="ListParagraph"/>
        <w:spacing w:before="100" w:beforeAutospacing="1" w:after="0" w:afterAutospacing="1"/>
        <w:ind w:left="1440"/>
        <w:rPr>
          <w:rFonts w:ascii="Arial" w:eastAsia="Calibri" w:hAnsi="Arial" w:cs="Arial"/>
          <w:i/>
          <w:sz w:val="22"/>
          <w:szCs w:val="22"/>
        </w:rPr>
      </w:pPr>
    </w:p>
    <w:p w:rsidR="00A37500" w:rsidRDefault="00A37500" w:rsidP="00A37500">
      <w:pPr>
        <w:pStyle w:val="ListParagraph"/>
        <w:spacing w:before="100" w:beforeAutospacing="1" w:after="0" w:afterAutospacing="1"/>
        <w:rPr>
          <w:rFonts w:ascii="Arial" w:eastAsia="Calibri" w:hAnsi="Arial" w:cs="Arial"/>
          <w:sz w:val="22"/>
          <w:szCs w:val="22"/>
        </w:rPr>
      </w:pPr>
    </w:p>
    <w:p w:rsidR="00A37500" w:rsidRPr="00A37500" w:rsidRDefault="00A37500" w:rsidP="005F4A99">
      <w:pPr>
        <w:pStyle w:val="ListParagraph"/>
        <w:spacing w:after="0" w:afterAutospacing="1"/>
        <w:ind w:left="360"/>
        <w:rPr>
          <w:rFonts w:ascii="Arial" w:eastAsia="Calibri" w:hAnsi="Arial" w:cs="Arial"/>
          <w:b/>
          <w:sz w:val="22"/>
          <w:szCs w:val="22"/>
        </w:rPr>
      </w:pPr>
      <w:r w:rsidRPr="00A37500">
        <w:rPr>
          <w:rFonts w:ascii="Arial" w:eastAsia="Calibri" w:hAnsi="Arial" w:cs="Arial"/>
          <w:b/>
          <w:sz w:val="22"/>
          <w:szCs w:val="22"/>
        </w:rPr>
        <w:t>Tools of the Trade II</w:t>
      </w:r>
    </w:p>
    <w:p w:rsidR="00A37500" w:rsidRPr="00A37500" w:rsidRDefault="00A37500" w:rsidP="00A37500">
      <w:pPr>
        <w:pStyle w:val="ListParagraph"/>
        <w:numPr>
          <w:ilvl w:val="0"/>
          <w:numId w:val="19"/>
        </w:numPr>
        <w:spacing w:before="100" w:beforeAutospacing="1" w:after="100" w:afterAutospacing="1"/>
        <w:rPr>
          <w:rFonts w:ascii="Arial" w:eastAsia="Times New Roman" w:hAnsi="Arial" w:cs="Arial"/>
          <w:color w:val="000000"/>
          <w:sz w:val="22"/>
          <w:szCs w:val="22"/>
        </w:rPr>
      </w:pPr>
      <w:r w:rsidRPr="00A37500">
        <w:rPr>
          <w:rFonts w:ascii="Arial" w:eastAsia="Times New Roman" w:hAnsi="Arial" w:cs="Arial"/>
          <w:color w:val="000000"/>
          <w:sz w:val="22"/>
          <w:szCs w:val="22"/>
        </w:rPr>
        <w:t xml:space="preserve">Training of Trainers </w:t>
      </w:r>
      <w:r w:rsidR="00C852D7">
        <w:rPr>
          <w:rFonts w:ascii="Arial" w:eastAsia="Calibri" w:hAnsi="Arial" w:cs="Arial"/>
          <w:sz w:val="22"/>
          <w:szCs w:val="22"/>
        </w:rPr>
        <w:t xml:space="preserve">- </w:t>
      </w:r>
      <w:r w:rsidR="00C852D7">
        <w:rPr>
          <w:rFonts w:ascii="Arial" w:eastAsia="Times New Roman" w:hAnsi="Arial" w:cs="Arial"/>
          <w:color w:val="000000"/>
          <w:sz w:val="22"/>
          <w:szCs w:val="22"/>
        </w:rPr>
        <w:t xml:space="preserve">Available to all states </w:t>
      </w:r>
    </w:p>
    <w:p w:rsidR="00A37500" w:rsidRPr="00E50838" w:rsidRDefault="00A37500" w:rsidP="00A37500">
      <w:pPr>
        <w:pStyle w:val="ListParagraph"/>
        <w:numPr>
          <w:ilvl w:val="1"/>
          <w:numId w:val="19"/>
        </w:numPr>
        <w:spacing w:before="100" w:beforeAutospacing="1" w:after="100" w:afterAutospacing="1"/>
        <w:rPr>
          <w:rFonts w:ascii="Arial" w:eastAsia="Times New Roman" w:hAnsi="Arial" w:cs="Arial"/>
          <w:color w:val="000000"/>
          <w:sz w:val="22"/>
          <w:szCs w:val="22"/>
        </w:rPr>
      </w:pPr>
      <w:r w:rsidRPr="00E50838">
        <w:rPr>
          <w:rFonts w:ascii="Arial" w:eastAsia="Times New Roman" w:hAnsi="Arial" w:cs="Arial"/>
          <w:color w:val="000000"/>
          <w:sz w:val="22"/>
          <w:szCs w:val="22"/>
        </w:rPr>
        <w:t xml:space="preserve">Trainers would </w:t>
      </w:r>
      <w:r>
        <w:rPr>
          <w:rFonts w:ascii="Arial" w:eastAsia="Times New Roman" w:hAnsi="Arial" w:cs="Arial"/>
          <w:color w:val="000000"/>
          <w:sz w:val="22"/>
          <w:szCs w:val="22"/>
        </w:rPr>
        <w:t>participate in a two-day face-to-face training.  Those attending the training</w:t>
      </w:r>
      <w:r w:rsidRPr="00E50838">
        <w:rPr>
          <w:rFonts w:ascii="Arial" w:eastAsia="Times New Roman" w:hAnsi="Arial" w:cs="Arial"/>
          <w:color w:val="000000"/>
          <w:sz w:val="22"/>
          <w:szCs w:val="22"/>
        </w:rPr>
        <w:t xml:space="preserve"> would get the curriculum</w:t>
      </w:r>
      <w:r>
        <w:rPr>
          <w:rFonts w:ascii="Arial" w:eastAsia="Times New Roman" w:hAnsi="Arial" w:cs="Arial"/>
          <w:color w:val="000000"/>
          <w:sz w:val="22"/>
          <w:szCs w:val="22"/>
        </w:rPr>
        <w:t xml:space="preserve"> </w:t>
      </w:r>
      <w:r w:rsidRPr="00E50838">
        <w:rPr>
          <w:rFonts w:ascii="Arial" w:eastAsia="Times New Roman" w:hAnsi="Arial" w:cs="Arial"/>
          <w:color w:val="000000"/>
          <w:sz w:val="22"/>
          <w:szCs w:val="22"/>
        </w:rPr>
        <w:t>at no cost</w:t>
      </w:r>
      <w:r>
        <w:rPr>
          <w:rFonts w:ascii="Arial" w:eastAsia="Times New Roman" w:hAnsi="Arial" w:cs="Arial"/>
          <w:color w:val="000000"/>
          <w:sz w:val="22"/>
          <w:szCs w:val="22"/>
        </w:rPr>
        <w:t>.</w:t>
      </w:r>
    </w:p>
    <w:p w:rsidR="00A37500" w:rsidRPr="00E50838" w:rsidRDefault="00A37500" w:rsidP="00A37500">
      <w:pPr>
        <w:pStyle w:val="ListParagraph"/>
        <w:spacing w:before="100" w:beforeAutospacing="1" w:after="100" w:afterAutospacing="1"/>
        <w:ind w:left="1800"/>
        <w:rPr>
          <w:rFonts w:ascii="Arial" w:eastAsia="Times New Roman" w:hAnsi="Arial" w:cs="Arial"/>
          <w:color w:val="000000"/>
          <w:sz w:val="22"/>
          <w:szCs w:val="22"/>
        </w:rPr>
      </w:pPr>
    </w:p>
    <w:p w:rsidR="00A37500" w:rsidRPr="00E50838" w:rsidRDefault="00A37500" w:rsidP="00A37500">
      <w:pPr>
        <w:pStyle w:val="ListParagraph"/>
        <w:numPr>
          <w:ilvl w:val="0"/>
          <w:numId w:val="16"/>
        </w:numPr>
        <w:spacing w:before="100" w:beforeAutospacing="1" w:after="100" w:afterAutospacing="1"/>
        <w:rPr>
          <w:rFonts w:ascii="Arial" w:eastAsia="Times New Roman" w:hAnsi="Arial" w:cs="Arial"/>
          <w:color w:val="000000"/>
          <w:sz w:val="22"/>
          <w:szCs w:val="22"/>
        </w:rPr>
      </w:pPr>
      <w:r w:rsidRPr="00E50838">
        <w:rPr>
          <w:rFonts w:ascii="Arial" w:eastAsia="Times New Roman" w:hAnsi="Arial" w:cs="Arial"/>
          <w:color w:val="000000"/>
          <w:sz w:val="22"/>
          <w:szCs w:val="22"/>
        </w:rPr>
        <w:t>Direct Provider Training</w:t>
      </w:r>
      <w:r w:rsidR="00C852D7">
        <w:rPr>
          <w:rFonts w:ascii="Arial" w:eastAsia="Times New Roman" w:hAnsi="Arial" w:cs="Arial"/>
          <w:color w:val="000000"/>
          <w:sz w:val="22"/>
          <w:szCs w:val="22"/>
        </w:rPr>
        <w:t xml:space="preserve"> </w:t>
      </w:r>
    </w:p>
    <w:p w:rsidR="00E16DEC" w:rsidRPr="003477BA" w:rsidRDefault="00E16DEC" w:rsidP="00E16DEC">
      <w:pPr>
        <w:pStyle w:val="ListParagraph"/>
        <w:numPr>
          <w:ilvl w:val="1"/>
          <w:numId w:val="16"/>
        </w:numPr>
        <w:spacing w:before="100" w:beforeAutospacing="1" w:after="0" w:afterAutospacing="1"/>
        <w:rPr>
          <w:rFonts w:ascii="Arial" w:eastAsia="Calibri" w:hAnsi="Arial" w:cs="Arial"/>
          <w:i/>
          <w:sz w:val="22"/>
          <w:szCs w:val="22"/>
        </w:rPr>
      </w:pPr>
      <w:r w:rsidRPr="00AA58EE">
        <w:rPr>
          <w:rFonts w:ascii="Arial" w:eastAsia="Times New Roman" w:hAnsi="Arial" w:cs="Arial"/>
          <w:color w:val="000000"/>
          <w:sz w:val="22"/>
          <w:szCs w:val="22"/>
        </w:rPr>
        <w:t xml:space="preserve">Trainers would provide F2F direct provider training </w:t>
      </w:r>
      <w:r>
        <w:rPr>
          <w:rFonts w:ascii="Arial" w:eastAsia="Times New Roman" w:hAnsi="Arial" w:cs="Arial"/>
          <w:color w:val="000000"/>
          <w:sz w:val="22"/>
          <w:szCs w:val="22"/>
        </w:rPr>
        <w:t xml:space="preserve">in </w:t>
      </w:r>
      <w:r w:rsidRPr="00AA58EE">
        <w:rPr>
          <w:rFonts w:ascii="Arial" w:eastAsia="Times New Roman" w:hAnsi="Arial" w:cs="Arial"/>
          <w:color w:val="000000"/>
          <w:sz w:val="22"/>
          <w:szCs w:val="22"/>
        </w:rPr>
        <w:t xml:space="preserve">at least </w:t>
      </w:r>
      <w:r>
        <w:rPr>
          <w:rFonts w:ascii="Arial" w:eastAsia="Times New Roman" w:hAnsi="Arial" w:cs="Arial"/>
          <w:color w:val="000000"/>
          <w:sz w:val="22"/>
          <w:szCs w:val="22"/>
        </w:rPr>
        <w:t>two</w:t>
      </w:r>
      <w:r w:rsidRPr="00AA58EE">
        <w:rPr>
          <w:rFonts w:ascii="Arial" w:eastAsia="Times New Roman" w:hAnsi="Arial" w:cs="Arial"/>
          <w:color w:val="000000"/>
          <w:sz w:val="22"/>
          <w:szCs w:val="22"/>
        </w:rPr>
        <w:t xml:space="preserve"> locations in </w:t>
      </w:r>
      <w:r>
        <w:rPr>
          <w:rFonts w:ascii="Arial" w:eastAsia="Times New Roman" w:hAnsi="Arial" w:cs="Arial"/>
          <w:color w:val="000000"/>
          <w:sz w:val="22"/>
          <w:szCs w:val="22"/>
        </w:rPr>
        <w:t>designated</w:t>
      </w:r>
      <w:r w:rsidRPr="00AA58EE">
        <w:rPr>
          <w:rFonts w:ascii="Arial" w:eastAsia="Times New Roman" w:hAnsi="Arial" w:cs="Arial"/>
          <w:color w:val="000000"/>
          <w:sz w:val="22"/>
          <w:szCs w:val="22"/>
        </w:rPr>
        <w:t xml:space="preserve"> counties.  </w:t>
      </w:r>
    </w:p>
    <w:p w:rsidR="00A37500" w:rsidRDefault="00A37500" w:rsidP="00A54F73">
      <w:pPr>
        <w:pStyle w:val="ListParagraph"/>
        <w:spacing w:before="100" w:beforeAutospacing="1" w:after="0" w:afterAutospacing="1"/>
        <w:ind w:left="360"/>
        <w:rPr>
          <w:rFonts w:ascii="Arial" w:eastAsia="Calibri" w:hAnsi="Arial" w:cs="Arial"/>
          <w:sz w:val="22"/>
          <w:szCs w:val="22"/>
        </w:rPr>
      </w:pPr>
    </w:p>
    <w:p w:rsidR="000170E6" w:rsidRDefault="000170E6" w:rsidP="00A54F73">
      <w:pPr>
        <w:pStyle w:val="ListParagraph"/>
        <w:spacing w:before="100" w:beforeAutospacing="1" w:after="0" w:afterAutospacing="1"/>
        <w:ind w:left="360"/>
        <w:rPr>
          <w:rFonts w:ascii="Arial" w:eastAsia="Calibri" w:hAnsi="Arial" w:cs="Arial"/>
          <w:sz w:val="22"/>
          <w:szCs w:val="22"/>
        </w:rPr>
      </w:pPr>
    </w:p>
    <w:p w:rsidR="00A37500" w:rsidRPr="00A37500" w:rsidRDefault="00A37500" w:rsidP="00A37500">
      <w:pPr>
        <w:pStyle w:val="ListParagraph"/>
        <w:spacing w:before="100" w:beforeAutospacing="1" w:after="0" w:afterAutospacing="1"/>
        <w:rPr>
          <w:rFonts w:ascii="Arial" w:eastAsia="Calibri" w:hAnsi="Arial" w:cs="Arial"/>
          <w:sz w:val="22"/>
          <w:szCs w:val="22"/>
        </w:rPr>
      </w:pPr>
    </w:p>
    <w:p w:rsidR="007D3C31" w:rsidRPr="00AA58EE" w:rsidRDefault="007D3C31" w:rsidP="00AA58EE">
      <w:pPr>
        <w:spacing w:before="100" w:beforeAutospacing="1" w:after="0" w:afterAutospacing="1"/>
        <w:rPr>
          <w:rFonts w:ascii="Arial" w:eastAsia="Calibri" w:hAnsi="Arial" w:cs="Arial"/>
          <w:i/>
          <w:sz w:val="22"/>
          <w:szCs w:val="22"/>
        </w:rPr>
      </w:pPr>
      <w:r w:rsidRPr="00AA58EE">
        <w:rPr>
          <w:rFonts w:ascii="Arial" w:eastAsia="Calibri" w:hAnsi="Arial" w:cs="Arial"/>
          <w:b/>
          <w:sz w:val="22"/>
          <w:szCs w:val="22"/>
        </w:rPr>
        <w:t>Reading Make Cents</w:t>
      </w:r>
    </w:p>
    <w:p w:rsidR="007D3C31" w:rsidRPr="007D3C31" w:rsidRDefault="007D3C31" w:rsidP="007D3C31">
      <w:pPr>
        <w:spacing w:after="0"/>
        <w:ind w:firstLine="720"/>
        <w:rPr>
          <w:rFonts w:ascii="Arial" w:eastAsia="Calibri" w:hAnsi="Arial" w:cs="Arial"/>
          <w:sz w:val="22"/>
          <w:szCs w:val="22"/>
        </w:rPr>
      </w:pPr>
      <w:r w:rsidRPr="007D3C31">
        <w:rPr>
          <w:rFonts w:ascii="Arial" w:eastAsia="Calibri" w:hAnsi="Arial" w:cs="Arial"/>
          <w:sz w:val="22"/>
          <w:szCs w:val="22"/>
        </w:rPr>
        <w:t xml:space="preserve">Reading Makes Cents - </w:t>
      </w:r>
      <w:hyperlink r:id="rId11" w:history="1">
        <w:r w:rsidRPr="007D3C31">
          <w:rPr>
            <w:rFonts w:ascii="Arial" w:eastAsia="Calibri" w:hAnsi="Arial" w:cs="Arial"/>
            <w:color w:val="0563C1"/>
            <w:sz w:val="22"/>
            <w:szCs w:val="22"/>
            <w:u w:val="single"/>
          </w:rPr>
          <w:t>http://www.4-h.org/resource-library/curriculum/4-h-reading-makes-cents/activity-guide/</w:t>
        </w:r>
      </w:hyperlink>
      <w:r w:rsidRPr="007D3C31">
        <w:rPr>
          <w:rFonts w:ascii="Arial" w:eastAsia="Calibri" w:hAnsi="Arial" w:cs="Arial"/>
          <w:sz w:val="22"/>
          <w:szCs w:val="22"/>
        </w:rPr>
        <w:t xml:space="preserve">   </w:t>
      </w:r>
    </w:p>
    <w:p w:rsidR="007D3C31" w:rsidRPr="007D3C31" w:rsidRDefault="007D3C31" w:rsidP="007D3C31">
      <w:pPr>
        <w:spacing w:after="0"/>
        <w:ind w:firstLine="720"/>
        <w:rPr>
          <w:rFonts w:ascii="Arial" w:eastAsia="Calibri" w:hAnsi="Arial" w:cs="Arial"/>
          <w:sz w:val="22"/>
          <w:szCs w:val="22"/>
        </w:rPr>
      </w:pPr>
      <w:r w:rsidRPr="007D3C31">
        <w:rPr>
          <w:rFonts w:ascii="Arial" w:eastAsia="Calibri" w:hAnsi="Arial" w:cs="Arial"/>
          <w:sz w:val="22"/>
          <w:szCs w:val="22"/>
        </w:rPr>
        <w:t xml:space="preserve">                                                </w:t>
      </w:r>
    </w:p>
    <w:p w:rsidR="007D3C31" w:rsidRPr="007D3C31" w:rsidRDefault="00AE4EF9" w:rsidP="00AE4EF9">
      <w:pPr>
        <w:spacing w:after="0"/>
        <w:rPr>
          <w:rFonts w:ascii="Arial" w:eastAsia="Calibri" w:hAnsi="Arial" w:cs="Arial"/>
          <w:sz w:val="22"/>
          <w:szCs w:val="22"/>
        </w:rPr>
      </w:pPr>
      <w:r w:rsidRPr="00AE4EF9">
        <w:rPr>
          <w:rFonts w:ascii="Arial" w:eastAsia="Calibri" w:hAnsi="Arial" w:cs="Arial"/>
          <w:noProof/>
          <w:sz w:val="22"/>
          <w:szCs w:val="22"/>
        </w:rPr>
        <mc:AlternateContent>
          <mc:Choice Requires="wps">
            <w:drawing>
              <wp:anchor distT="45720" distB="45720" distL="114300" distR="114300" simplePos="0" relativeHeight="251659264" behindDoc="0" locked="0" layoutInCell="1" allowOverlap="1" wp14:anchorId="6B2254E4" wp14:editId="1F1F8EF7">
                <wp:simplePos x="0" y="0"/>
                <wp:positionH relativeFrom="margin">
                  <wp:align>right</wp:align>
                </wp:positionH>
                <wp:positionV relativeFrom="paragraph">
                  <wp:posOffset>6350</wp:posOffset>
                </wp:positionV>
                <wp:extent cx="4191000" cy="18351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835150"/>
                        </a:xfrm>
                        <a:prstGeom prst="rect">
                          <a:avLst/>
                        </a:prstGeom>
                        <a:solidFill>
                          <a:srgbClr val="FFFFFF"/>
                        </a:solidFill>
                        <a:ln w="9525">
                          <a:solidFill>
                            <a:srgbClr val="000000"/>
                          </a:solidFill>
                          <a:miter lim="800000"/>
                          <a:headEnd/>
                          <a:tailEnd/>
                        </a:ln>
                      </wps:spPr>
                      <wps:txbx>
                        <w:txbxContent>
                          <w:p w:rsidR="00D90CAD" w:rsidRPr="00887EB8" w:rsidRDefault="00D90CAD">
                            <w:pPr>
                              <w:rPr>
                                <w:sz w:val="22"/>
                                <w:szCs w:val="22"/>
                              </w:rPr>
                            </w:pPr>
                            <w:r w:rsidRPr="00887EB8">
                              <w:rPr>
                                <w:rFonts w:ascii="Arial" w:hAnsi="Arial"/>
                                <w:sz w:val="22"/>
                                <w:szCs w:val="22"/>
                              </w:rPr>
                              <w:t>Reading Makes Cents is comprised of a collection of activities developed around exemplary children’s literature that has money as a theme. The selected children's literature explores ideas, activities, and strategies that help children learn how to earn, save, share, and spend money. Children's literature provides a rich diversity of settings, people, income levels, relationships, ethnic backgrounds, cultures, religions, holidays, intergenerational friendships all related to money messages and learning</w:t>
                            </w:r>
                            <w:r w:rsidRPr="00887EB8">
                              <w:rPr>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2254E4" id="_x0000_t202" coordsize="21600,21600" o:spt="202" path="m,l,21600r21600,l21600,xe">
                <v:stroke joinstyle="miter"/>
                <v:path gradientshapeok="t" o:connecttype="rect"/>
              </v:shapetype>
              <v:shape id="Text Box 2" o:spid="_x0000_s1026" type="#_x0000_t202" style="position:absolute;margin-left:278.8pt;margin-top:.5pt;width:330pt;height:144.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fRJwIAAEcEAAAOAAAAZHJzL2Uyb0RvYy54bWysU9tu2zAMfR+wfxD0vtjOkjUx4hRdugwD&#10;ugvQ7gNoWY6F6TZJiZ19fSk5TbMOexnmB0MUqcPDQ3J1PShJDtx5YXRFi0lOCdfMNELvKvr9Yftm&#10;QYkPoBuQRvOKHrmn1+vXr1a9LfnUdEY23BEE0b7sbUW7EGyZZZ51XIGfGMs1OlvjFAQ03S5rHPSI&#10;rmQ2zfN3WW9cY51h3Hu8vR2ddJ3w25az8LVtPQ9EVhS5hfR36V/Hf7ZeQblzYDvBTjTgH1goEBqT&#10;nqFuIQDZO/EHlBLMGW/aMGFGZaZtBeOpBqymyF9Uc9+B5akWFMfbs0z+/8GyL4dvjoimotPiihIN&#10;Cpv0wIdA3puBTKM+vfUlht1bDAwDXmOfU63e3hn2wxNtNh3oHb9xzvQdhwb5FfFldvF0xPERpO4/&#10;mwbTwD6YBDS0TkXxUA6C6Nin47k3kQrDy1mxLPIcXQx9xeLtvJin7mVQPj23zoeP3CgSDxV12PwE&#10;D4c7HyIdKJ9CYjZvpGi2QspkuF29kY4cAAdlm75UwYswqUlf0eV8Oh8V+CsEUo1sx6y/ZVIi4MRL&#10;oSq6OAdBGXX7oBt8AGUAIcczUpb6JGTUblQxDPWAgVHd2jRHlNSZcbJxE/HQGfeLkh6nuqL+5x4c&#10;p0R+0tiWZTGbxTVIxmx+NUXDXXrqSw9ohlAVDZSMx01Iq5MEszfYvq1Iwj4zOXHFaU16nzYrrsOl&#10;naKe93/9CAAA//8DAFBLAwQUAAYACAAAACEAtVP6dNkAAAAGAQAADwAAAGRycy9kb3ducmV2Lnht&#10;bEyPQU/DMAyF70j8h8hIXCaWMrSKlboTTNqJ08q4Z43XVjROSbKt+/eYE5z87Gc9fy7XkxvUmULs&#10;PSM8zjNQxI23PbcI+4/twzOomAxbM3gmhCtFWFe3N6UprL/wjs51apWEcCwMQpfSWGgdm46ciXM/&#10;Eot39MGZJG1otQ3mIuFu0Issy7UzPcuFzoy06aj5qk8OIf+un2bvn3bGu+v2LTRuaTf7JeL93fT6&#10;AirRlP6W4Rdf0KESpoM/sY1qQJBHkkyliJnnmYgDwmIlQlel/o9f/QAAAP//AwBQSwECLQAUAAYA&#10;CAAAACEAtoM4kv4AAADhAQAAEwAAAAAAAAAAAAAAAAAAAAAAW0NvbnRlbnRfVHlwZXNdLnhtbFBL&#10;AQItABQABgAIAAAAIQA4/SH/1gAAAJQBAAALAAAAAAAAAAAAAAAAAC8BAABfcmVscy8ucmVsc1BL&#10;AQItABQABgAIAAAAIQAUFnfRJwIAAEcEAAAOAAAAAAAAAAAAAAAAAC4CAABkcnMvZTJvRG9jLnht&#10;bFBLAQItABQABgAIAAAAIQC1U/p02QAAAAYBAAAPAAAAAAAAAAAAAAAAAIEEAABkcnMvZG93bnJl&#10;di54bWxQSwUGAAAAAAQABADzAAAAhwUAAAAA&#10;">
                <v:textbox style="mso-fit-shape-to-text:t">
                  <w:txbxContent>
                    <w:p w:rsidR="00D90CAD" w:rsidRPr="00887EB8" w:rsidRDefault="00D90CAD">
                      <w:pPr>
                        <w:rPr>
                          <w:sz w:val="22"/>
                          <w:szCs w:val="22"/>
                        </w:rPr>
                      </w:pPr>
                      <w:r w:rsidRPr="00887EB8">
                        <w:rPr>
                          <w:rFonts w:ascii="Arial" w:hAnsi="Arial"/>
                          <w:sz w:val="22"/>
                          <w:szCs w:val="22"/>
                        </w:rPr>
                        <w:t>Reading Makes Cents is comprised of a collection of activities developed around exemplary children’s literature that has money as a theme. The selected children's literature explores ideas, activities, and strategies that help children learn how to earn, save, share, and spend money. Children's literature provides a rich diversity of settings, people, income levels, relationships, ethnic backgrounds, cultures, religions, holidays, intergenerational friendships all related to money messages and learning</w:t>
                      </w:r>
                      <w:r w:rsidRPr="00887EB8">
                        <w:rPr>
                          <w:sz w:val="22"/>
                          <w:szCs w:val="22"/>
                        </w:rPr>
                        <w:t>.</w:t>
                      </w:r>
                    </w:p>
                  </w:txbxContent>
                </v:textbox>
                <w10:wrap type="square" anchorx="margin"/>
              </v:shape>
            </w:pict>
          </mc:Fallback>
        </mc:AlternateContent>
      </w:r>
      <w:r w:rsidRPr="007D3C31">
        <w:rPr>
          <w:rFonts w:ascii="Arial" w:eastAsia="Calibri" w:hAnsi="Arial" w:cs="Arial"/>
          <w:noProof/>
          <w:sz w:val="22"/>
          <w:szCs w:val="22"/>
        </w:rPr>
        <w:drawing>
          <wp:inline distT="0" distB="0" distL="0" distR="0" wp14:anchorId="18BC4F02" wp14:editId="0B2FB8D3">
            <wp:extent cx="1257300" cy="1257300"/>
            <wp:effectExtent l="0" t="0" r="0" b="0"/>
            <wp:docPr id="1" name="Picture 1" descr="Reading Makes 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Makes C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7D3C31" w:rsidRPr="007D3C31" w:rsidRDefault="007D3C31" w:rsidP="007D3C31">
      <w:pPr>
        <w:spacing w:after="0"/>
        <w:ind w:firstLine="720"/>
        <w:rPr>
          <w:rFonts w:ascii="Arial" w:eastAsia="Calibri" w:hAnsi="Arial" w:cs="Arial"/>
          <w:sz w:val="22"/>
          <w:szCs w:val="22"/>
        </w:rPr>
      </w:pPr>
    </w:p>
    <w:p w:rsidR="007D3C31" w:rsidRPr="007D3C31" w:rsidRDefault="007D3C31" w:rsidP="007D3C31">
      <w:pPr>
        <w:spacing w:after="0"/>
        <w:ind w:firstLine="720"/>
        <w:rPr>
          <w:rFonts w:ascii="Arial" w:eastAsia="Calibri" w:hAnsi="Arial" w:cs="Arial"/>
          <w:sz w:val="22"/>
          <w:szCs w:val="22"/>
        </w:rPr>
      </w:pPr>
    </w:p>
    <w:p w:rsidR="003477BA" w:rsidRDefault="003477BA" w:rsidP="007D3C31">
      <w:pPr>
        <w:spacing w:after="0"/>
        <w:rPr>
          <w:rFonts w:ascii="Arial" w:eastAsia="Calibri" w:hAnsi="Arial" w:cs="Arial"/>
          <w:b/>
          <w:sz w:val="22"/>
          <w:szCs w:val="22"/>
        </w:rPr>
      </w:pPr>
    </w:p>
    <w:p w:rsidR="00AE4EF9" w:rsidRDefault="00AE4EF9" w:rsidP="007D3C31">
      <w:pPr>
        <w:spacing w:after="0"/>
        <w:rPr>
          <w:rFonts w:ascii="Arial" w:eastAsia="Calibri" w:hAnsi="Arial" w:cs="Arial"/>
          <w:b/>
          <w:sz w:val="22"/>
          <w:szCs w:val="22"/>
        </w:rPr>
      </w:pPr>
    </w:p>
    <w:p w:rsidR="003477BA" w:rsidRDefault="003477BA" w:rsidP="007D3C31">
      <w:pPr>
        <w:spacing w:after="0"/>
        <w:rPr>
          <w:rFonts w:ascii="Arial" w:eastAsia="Calibri" w:hAnsi="Arial" w:cs="Arial"/>
          <w:b/>
          <w:sz w:val="22"/>
          <w:szCs w:val="22"/>
        </w:rPr>
      </w:pPr>
    </w:p>
    <w:p w:rsidR="003477BA" w:rsidRDefault="003477BA" w:rsidP="007D3C31">
      <w:pPr>
        <w:spacing w:after="0"/>
        <w:rPr>
          <w:rFonts w:ascii="Arial" w:eastAsia="Calibri" w:hAnsi="Arial" w:cs="Arial"/>
          <w:b/>
          <w:sz w:val="22"/>
          <w:szCs w:val="22"/>
        </w:rPr>
      </w:pPr>
    </w:p>
    <w:p w:rsidR="007D3C31" w:rsidRPr="007D3C31" w:rsidRDefault="007D3C31" w:rsidP="007D3C31">
      <w:pPr>
        <w:spacing w:after="0"/>
        <w:rPr>
          <w:rFonts w:ascii="Arial" w:eastAsia="Calibri" w:hAnsi="Arial" w:cs="Arial"/>
          <w:i/>
          <w:sz w:val="22"/>
          <w:szCs w:val="22"/>
        </w:rPr>
      </w:pPr>
      <w:r w:rsidRPr="007D3C31">
        <w:rPr>
          <w:rFonts w:ascii="Arial" w:eastAsia="Calibri" w:hAnsi="Arial" w:cs="Arial"/>
          <w:b/>
          <w:sz w:val="22"/>
          <w:szCs w:val="22"/>
        </w:rPr>
        <w:t>The Power o</w:t>
      </w:r>
      <w:r w:rsidR="00E50838">
        <w:rPr>
          <w:rFonts w:ascii="Arial" w:eastAsia="Calibri" w:hAnsi="Arial" w:cs="Arial"/>
          <w:b/>
          <w:sz w:val="22"/>
          <w:szCs w:val="22"/>
        </w:rPr>
        <w:t xml:space="preserve">f </w:t>
      </w:r>
      <w:r w:rsidR="009D69A3">
        <w:rPr>
          <w:rFonts w:ascii="Arial" w:eastAsia="Calibri" w:hAnsi="Arial" w:cs="Arial"/>
          <w:b/>
          <w:sz w:val="22"/>
          <w:szCs w:val="22"/>
        </w:rPr>
        <w:t xml:space="preserve">the </w:t>
      </w:r>
      <w:r w:rsidR="00E50838">
        <w:rPr>
          <w:rFonts w:ascii="Arial" w:eastAsia="Calibri" w:hAnsi="Arial" w:cs="Arial"/>
          <w:b/>
          <w:sz w:val="22"/>
          <w:szCs w:val="22"/>
        </w:rPr>
        <w:t xml:space="preserve">Wind </w:t>
      </w:r>
    </w:p>
    <w:p w:rsidR="007D3C31" w:rsidRPr="007D3C31" w:rsidRDefault="007D3C31" w:rsidP="007D3C31">
      <w:pPr>
        <w:spacing w:after="0"/>
        <w:ind w:firstLine="720"/>
        <w:rPr>
          <w:rFonts w:ascii="Arial" w:eastAsia="Calibri" w:hAnsi="Arial" w:cs="Arial"/>
          <w:sz w:val="22"/>
          <w:szCs w:val="22"/>
        </w:rPr>
      </w:pPr>
      <w:r w:rsidRPr="007D3C31">
        <w:rPr>
          <w:rFonts w:ascii="Arial" w:eastAsia="Calibri" w:hAnsi="Arial" w:cs="Arial"/>
          <w:sz w:val="22"/>
          <w:szCs w:val="22"/>
        </w:rPr>
        <w:t xml:space="preserve">The Power of </w:t>
      </w:r>
      <w:r w:rsidR="009D69A3">
        <w:rPr>
          <w:rFonts w:ascii="Arial" w:eastAsia="Calibri" w:hAnsi="Arial" w:cs="Arial"/>
          <w:sz w:val="22"/>
          <w:szCs w:val="22"/>
        </w:rPr>
        <w:t xml:space="preserve">the </w:t>
      </w:r>
      <w:r w:rsidRPr="007D3C31">
        <w:rPr>
          <w:rFonts w:ascii="Arial" w:eastAsia="Calibri" w:hAnsi="Arial" w:cs="Arial"/>
          <w:sz w:val="22"/>
          <w:szCs w:val="22"/>
        </w:rPr>
        <w:t xml:space="preserve">Wind:  </w:t>
      </w:r>
      <w:hyperlink r:id="rId13" w:history="1">
        <w:r w:rsidRPr="007D3C31">
          <w:rPr>
            <w:rFonts w:ascii="Arial" w:eastAsia="Calibri" w:hAnsi="Arial" w:cs="Arial"/>
            <w:color w:val="0563C1"/>
            <w:sz w:val="22"/>
            <w:szCs w:val="22"/>
            <w:u w:val="single"/>
          </w:rPr>
          <w:t>http://www.4-h.org/resource-library/curriculum/4-h-the-power-of-the-wind/</w:t>
        </w:r>
      </w:hyperlink>
      <w:r w:rsidRPr="007D3C31">
        <w:rPr>
          <w:rFonts w:ascii="Arial" w:eastAsia="Calibri" w:hAnsi="Arial" w:cs="Arial"/>
          <w:sz w:val="22"/>
          <w:szCs w:val="22"/>
        </w:rPr>
        <w:t xml:space="preserve"> </w:t>
      </w:r>
    </w:p>
    <w:p w:rsidR="007D3C31" w:rsidRPr="007D3C31" w:rsidRDefault="007D3C31" w:rsidP="007D3C31">
      <w:pPr>
        <w:spacing w:after="0"/>
        <w:ind w:firstLine="720"/>
        <w:rPr>
          <w:rFonts w:ascii="Arial" w:eastAsia="Calibri" w:hAnsi="Arial" w:cs="Arial"/>
          <w:sz w:val="22"/>
          <w:szCs w:val="22"/>
        </w:rPr>
      </w:pPr>
    </w:p>
    <w:p w:rsidR="00AE4EF9" w:rsidRDefault="00AE4EF9" w:rsidP="00AE4EF9">
      <w:r w:rsidRPr="00AE4EF9">
        <w:rPr>
          <w:rFonts w:ascii="Arial" w:eastAsia="Calibri" w:hAnsi="Arial" w:cs="Arial"/>
          <w:noProof/>
          <w:sz w:val="22"/>
          <w:szCs w:val="22"/>
        </w:rPr>
        <mc:AlternateContent>
          <mc:Choice Requires="wps">
            <w:drawing>
              <wp:anchor distT="45720" distB="45720" distL="114300" distR="114300" simplePos="0" relativeHeight="251661312" behindDoc="0" locked="0" layoutInCell="1" allowOverlap="1" wp14:anchorId="40D239DD" wp14:editId="69C31224">
                <wp:simplePos x="0" y="0"/>
                <wp:positionH relativeFrom="margin">
                  <wp:posOffset>1828800</wp:posOffset>
                </wp:positionH>
                <wp:positionV relativeFrom="paragraph">
                  <wp:posOffset>201930</wp:posOffset>
                </wp:positionV>
                <wp:extent cx="4105275" cy="1120775"/>
                <wp:effectExtent l="0" t="0" r="34925"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120775"/>
                        </a:xfrm>
                        <a:prstGeom prst="rect">
                          <a:avLst/>
                        </a:prstGeom>
                        <a:solidFill>
                          <a:srgbClr val="FFFFFF"/>
                        </a:solidFill>
                        <a:ln w="9525">
                          <a:solidFill>
                            <a:srgbClr val="000000"/>
                          </a:solidFill>
                          <a:miter lim="800000"/>
                          <a:headEnd/>
                          <a:tailEnd/>
                        </a:ln>
                      </wps:spPr>
                      <wps:txbx>
                        <w:txbxContent>
                          <w:p w:rsidR="00D90CAD" w:rsidRPr="00887EB8" w:rsidRDefault="00D90CAD">
                            <w:pPr>
                              <w:rPr>
                                <w:rFonts w:ascii="Arial" w:hAnsi="Arial" w:cs="Arial"/>
                                <w:sz w:val="22"/>
                                <w:szCs w:val="22"/>
                              </w:rPr>
                            </w:pPr>
                            <w:r w:rsidRPr="00887EB8">
                              <w:rPr>
                                <w:rFonts w:ascii="Arial" w:hAnsi="Arial" w:cs="Arial"/>
                                <w:sz w:val="22"/>
                                <w:szCs w:val="22"/>
                              </w:rPr>
                              <w:t>The Power of the Wind Curriculum is about the wind and its uses. Youth work with members of a team to design, create, build, and test a wind powered devices and are given opportunities to explore wind as a potential energy source in their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D239DD" id="_x0000_s1027" type="#_x0000_t202" style="position:absolute;margin-left:2in;margin-top:15.9pt;width:323.25pt;height:88.2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X5JQIAAEwEAAAOAAAAZHJzL2Uyb0RvYy54bWysVNtu2zAMfR+wfxD0vviCpGmNOEWXLsOA&#10;rhvQ7gNkWY6FSaImKbG7rx8lp2l2exnmB0EUqSPyHNKr61ErchDOSzA1LWY5JcJwaKXZ1fTL4/bN&#10;JSU+MNMyBUbU9El4er1+/Wo12EqU0INqhSMIYnw12Jr2IdgqyzzvhWZ+BlYYdHbgNAtoul3WOjYg&#10;ulZZmecX2QCutQ648B5PbycnXSf8rhM8fOo6LwJRNcXcQlpdWpu4ZusVq3aO2V7yYxrsH7LQTBp8&#10;9AR1ywIjeyd/g9KSO/DQhRkHnUHXSS5SDVhNkf9SzUPPrEi1IDnenmjy/w+W3x8+OyLbml5QYphG&#10;iR7FGMhbGEkZ2RmsrzDowWJYGPEYVU6VensH/KsnBjY9Mztx4xwMvWAtZlfEm9nZ1QnHR5Bm+Agt&#10;PsP2ARLQ2DkdqUMyCKKjSk8nZWIqHA/nRb4olwtKOPqKosyXaMQ3WPV83Tof3gvQJG5q6lD6BM8O&#10;dz5Moc8h8TUPSrZbqVQy3K7ZKEcODNtkm74j+k9hypChpleLcjEx8FeIPH1/gtAyYL8rqWt6eQpi&#10;VeTtnWkxTVYFJtW0x+qUORIZuZtYDGMzJsUSy5HkBtonZNbB1N44jrjpwX2nZMDWrqn/tmdOUKI+&#10;GFTnqpjP4ywkY75Ylmi4c09z7mGGI1RNAyXTdhPS/CTe7A2quJWJ35dMjiljyyaFjuMVZ+LcTlEv&#10;P4H1DwAAAP//AwBQSwMEFAAGAAgAAAAhAARGu2veAAAACgEAAA8AAABkcnMvZG93bnJldi54bWxM&#10;j8FOwzAQRO9I/IO1SFwq6rQhVRriVFCpJ04N5e7G2yQiXgfbbdO/ZznBcTWj2ffKzWQHcUEfekcK&#10;FvMEBFLjTE+tgsPH7ikHEaImowdHqOCGATbV/V2pC+OutMdLHVvBIxQKraCLcSykDE2HVoe5G5E4&#10;OzlvdeTTt9J4feVxO8hlkqyk1T3xh06PuO2w+arPVsHqu05n759mRvvb7s03NjPbQ6bU48P0+gIi&#10;4hT/yvCLz+hQMdPRnckEMShY5jm7RAXpghW4sE6fMxBHTpI8BVmV8r9C9QMAAP//AwBQSwECLQAU&#10;AAYACAAAACEAtoM4kv4AAADhAQAAEwAAAAAAAAAAAAAAAAAAAAAAW0NvbnRlbnRfVHlwZXNdLnht&#10;bFBLAQItABQABgAIAAAAIQA4/SH/1gAAAJQBAAALAAAAAAAAAAAAAAAAAC8BAABfcmVscy8ucmVs&#10;c1BLAQItABQABgAIAAAAIQBCwfX5JQIAAEwEAAAOAAAAAAAAAAAAAAAAAC4CAABkcnMvZTJvRG9j&#10;LnhtbFBLAQItABQABgAIAAAAIQAERrtr3gAAAAoBAAAPAAAAAAAAAAAAAAAAAH8EAABkcnMvZG93&#10;bnJldi54bWxQSwUGAAAAAAQABADzAAAAigUAAAAA&#10;">
                <v:textbox style="mso-fit-shape-to-text:t">
                  <w:txbxContent>
                    <w:p w:rsidR="00D90CAD" w:rsidRPr="00887EB8" w:rsidRDefault="00D90CAD">
                      <w:pPr>
                        <w:rPr>
                          <w:rFonts w:ascii="Arial" w:hAnsi="Arial" w:cs="Arial"/>
                          <w:sz w:val="22"/>
                          <w:szCs w:val="22"/>
                        </w:rPr>
                      </w:pPr>
                      <w:r w:rsidRPr="00887EB8">
                        <w:rPr>
                          <w:rFonts w:ascii="Arial" w:hAnsi="Arial" w:cs="Arial"/>
                          <w:sz w:val="22"/>
                          <w:szCs w:val="22"/>
                        </w:rPr>
                        <w:t>The Power of the Wind Curriculum is about the wind and its uses. Youth work with members of a team to design, create, build, and test a wind powered devices and are given opportunities to explore wind as a potential energy source in their community.</w:t>
                      </w:r>
                    </w:p>
                  </w:txbxContent>
                </v:textbox>
                <w10:wrap type="square" anchorx="margin"/>
              </v:shape>
            </w:pict>
          </mc:Fallback>
        </mc:AlternateContent>
      </w:r>
      <w:r w:rsidR="007D3C31" w:rsidRPr="007D3C31">
        <w:rPr>
          <w:rFonts w:ascii="Arial" w:eastAsia="Calibri" w:hAnsi="Arial" w:cs="Arial"/>
          <w:noProof/>
          <w:sz w:val="22"/>
          <w:szCs w:val="22"/>
        </w:rPr>
        <w:drawing>
          <wp:inline distT="0" distB="0" distL="0" distR="0" wp14:anchorId="6D53DAD2" wp14:editId="44FEA0D3">
            <wp:extent cx="1257300" cy="1257300"/>
            <wp:effectExtent l="0" t="0" r="0" b="0"/>
            <wp:docPr id="3" name="Picture 3" descr="wind-youth-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nd-youth-gui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Pr="00AE4EF9">
        <w:t xml:space="preserve"> </w:t>
      </w:r>
    </w:p>
    <w:p w:rsidR="00A37500" w:rsidRDefault="00A37500" w:rsidP="00AA58EE">
      <w:pPr>
        <w:spacing w:after="0"/>
        <w:rPr>
          <w:rFonts w:ascii="Arial" w:eastAsia="Calibri" w:hAnsi="Arial" w:cs="Arial"/>
          <w:b/>
          <w:sz w:val="22"/>
          <w:szCs w:val="22"/>
        </w:rPr>
      </w:pPr>
    </w:p>
    <w:p w:rsidR="00604EEB" w:rsidRDefault="00604EEB" w:rsidP="00AA58EE">
      <w:pPr>
        <w:spacing w:after="0"/>
        <w:rPr>
          <w:rFonts w:ascii="Arial" w:eastAsia="Calibri" w:hAnsi="Arial" w:cs="Arial"/>
          <w:b/>
          <w:sz w:val="22"/>
          <w:szCs w:val="22"/>
        </w:rPr>
      </w:pPr>
    </w:p>
    <w:p w:rsidR="00AA58EE" w:rsidRPr="007D3C31" w:rsidRDefault="00AA58EE" w:rsidP="00AA58EE">
      <w:pPr>
        <w:spacing w:after="0"/>
        <w:rPr>
          <w:rFonts w:ascii="Arial" w:eastAsia="Calibri" w:hAnsi="Arial" w:cs="Arial"/>
          <w:i/>
          <w:sz w:val="22"/>
          <w:szCs w:val="22"/>
        </w:rPr>
      </w:pPr>
      <w:r>
        <w:rPr>
          <w:rFonts w:ascii="Arial" w:eastAsia="Calibri" w:hAnsi="Arial" w:cs="Arial"/>
          <w:b/>
          <w:sz w:val="22"/>
          <w:szCs w:val="22"/>
        </w:rPr>
        <w:t>Click2SciencePD</w:t>
      </w:r>
    </w:p>
    <w:p w:rsidR="00AA58EE" w:rsidRPr="007D3C31" w:rsidRDefault="00AA58EE" w:rsidP="00AA58EE">
      <w:pPr>
        <w:spacing w:after="0"/>
        <w:ind w:firstLine="720"/>
        <w:rPr>
          <w:rFonts w:ascii="Arial" w:eastAsia="Calibri" w:hAnsi="Arial" w:cs="Arial"/>
          <w:sz w:val="22"/>
          <w:szCs w:val="22"/>
        </w:rPr>
      </w:pPr>
      <w:r>
        <w:rPr>
          <w:rFonts w:ascii="Arial" w:eastAsia="Calibri" w:hAnsi="Arial" w:cs="Arial"/>
          <w:sz w:val="22"/>
          <w:szCs w:val="22"/>
        </w:rPr>
        <w:t>Cick2Science</w:t>
      </w:r>
      <w:r w:rsidR="003477BA">
        <w:rPr>
          <w:rFonts w:ascii="Arial" w:eastAsia="Calibri" w:hAnsi="Arial" w:cs="Arial"/>
          <w:sz w:val="22"/>
          <w:szCs w:val="22"/>
        </w:rPr>
        <w:t xml:space="preserve">:  </w:t>
      </w:r>
      <w:hyperlink r:id="rId15" w:history="1">
        <w:r w:rsidR="003477BA" w:rsidRPr="00717E58">
          <w:rPr>
            <w:rStyle w:val="Hyperlink"/>
            <w:rFonts w:ascii="Arial" w:eastAsia="Calibri" w:hAnsi="Arial" w:cs="Arial"/>
            <w:sz w:val="22"/>
            <w:szCs w:val="22"/>
          </w:rPr>
          <w:t>http://www.click2sciencepd.org</w:t>
        </w:r>
      </w:hyperlink>
      <w:r w:rsidR="003477BA">
        <w:rPr>
          <w:rFonts w:ascii="Arial" w:eastAsia="Calibri" w:hAnsi="Arial" w:cs="Arial"/>
          <w:sz w:val="22"/>
          <w:szCs w:val="22"/>
        </w:rPr>
        <w:t xml:space="preserve"> </w:t>
      </w:r>
      <w:r w:rsidRPr="007D3C31">
        <w:rPr>
          <w:rFonts w:ascii="Arial" w:eastAsia="Calibri" w:hAnsi="Arial" w:cs="Arial"/>
          <w:sz w:val="22"/>
          <w:szCs w:val="22"/>
        </w:rPr>
        <w:t xml:space="preserve"> </w:t>
      </w:r>
    </w:p>
    <w:p w:rsidR="00AA58EE" w:rsidRPr="007D3C31" w:rsidRDefault="00AA58EE" w:rsidP="00AA58EE">
      <w:pPr>
        <w:spacing w:after="0"/>
        <w:ind w:firstLine="720"/>
        <w:rPr>
          <w:rFonts w:ascii="Arial" w:eastAsia="Calibri" w:hAnsi="Arial" w:cs="Arial"/>
          <w:sz w:val="22"/>
          <w:szCs w:val="22"/>
        </w:rPr>
      </w:pPr>
    </w:p>
    <w:p w:rsidR="007D3C31" w:rsidRPr="007D3C31" w:rsidRDefault="003477BA" w:rsidP="007D3C31">
      <w:pPr>
        <w:spacing w:after="0"/>
        <w:ind w:firstLine="720"/>
        <w:rPr>
          <w:rFonts w:ascii="Arial" w:eastAsia="Calibri" w:hAnsi="Arial" w:cs="Arial"/>
          <w:sz w:val="22"/>
          <w:szCs w:val="22"/>
        </w:rPr>
      </w:pPr>
      <w:r w:rsidRPr="00AE4EF9">
        <w:rPr>
          <w:rFonts w:ascii="Arial" w:eastAsia="Calibri" w:hAnsi="Arial" w:cs="Arial"/>
          <w:noProof/>
          <w:sz w:val="22"/>
          <w:szCs w:val="22"/>
        </w:rPr>
        <mc:AlternateContent>
          <mc:Choice Requires="wps">
            <w:drawing>
              <wp:anchor distT="45720" distB="45720" distL="114300" distR="114300" simplePos="0" relativeHeight="251663360" behindDoc="0" locked="0" layoutInCell="1" allowOverlap="1" wp14:anchorId="776CA646" wp14:editId="1E33D3A7">
                <wp:simplePos x="0" y="0"/>
                <wp:positionH relativeFrom="margin">
                  <wp:posOffset>1981200</wp:posOffset>
                </wp:positionH>
                <wp:positionV relativeFrom="paragraph">
                  <wp:posOffset>89535</wp:posOffset>
                </wp:positionV>
                <wp:extent cx="4105275" cy="1120775"/>
                <wp:effectExtent l="0" t="0" r="3492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120775"/>
                        </a:xfrm>
                        <a:prstGeom prst="rect">
                          <a:avLst/>
                        </a:prstGeom>
                        <a:solidFill>
                          <a:srgbClr val="FFFFFF"/>
                        </a:solidFill>
                        <a:ln w="9525">
                          <a:solidFill>
                            <a:srgbClr val="000000"/>
                          </a:solidFill>
                          <a:miter lim="800000"/>
                          <a:headEnd/>
                          <a:tailEnd/>
                        </a:ln>
                      </wps:spPr>
                      <wps:txbx>
                        <w:txbxContent>
                          <w:p w:rsidR="00D90CAD" w:rsidRPr="00887EB8" w:rsidRDefault="00D90CAD" w:rsidP="003477BA">
                            <w:pPr>
                              <w:rPr>
                                <w:rFonts w:ascii="Arial" w:hAnsi="Arial" w:cs="Arial"/>
                                <w:sz w:val="22"/>
                                <w:szCs w:val="22"/>
                              </w:rPr>
                            </w:pPr>
                            <w:r w:rsidRPr="00887EB8">
                              <w:rPr>
                                <w:rFonts w:ascii="Arial" w:hAnsi="Arial" w:cs="Arial"/>
                                <w:sz w:val="22"/>
                                <w:szCs w:val="22"/>
                              </w:rPr>
                              <w:t>Click2Science provides resources front-line staff can use to increase their skills in engaging youth in STEM.  Click is based on 20 skills related to Planning STEM Experiences, Interacting with Youth During STEM, and Building STEM skills in Youth.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CA646" id="_x0000_s1028" type="#_x0000_t202" style="position:absolute;left:0;text-align:left;margin-left:156pt;margin-top:7.05pt;width:323.25pt;height:88.2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VJAIAAEwEAAAOAAAAZHJzL2Uyb0RvYy54bWysVNuO2yAQfa/Uf0C8N74oaXatOKtttqkq&#10;bS/Sbj8AYxyjAkOBxE6/vgPOZtPbS1U/IIYZDjPnzHh1M2pFDsJ5CaamxSynRBgOrTS7mn553L66&#10;osQHZlqmwIiaHoWnN+uXL1aDrUQJPahWOIIgxleDrWkfgq2yzPNeaOZnYIVBZwdOs4Cm22WtYwOi&#10;a5WVef46G8C11gEX3uPp3eSk64TfdYKHT13nRSCqpphbSKtLaxPXbL1i1c4x20t+SoP9QxaaSYOP&#10;nqHuWGBk7+RvUFpyBx66MOOgM+g6yUWqAasp8l+qeeiZFakWJMfbM03+/8Hyj4fPjsi2piUlhmmU&#10;6FGMgbyBkZSRncH6CoMeLIaFEY9R5VSpt/fAv3piYNMzsxO3zsHQC9ZidkW8mV1cnXB8BGmGD9Di&#10;M2wfIAGNndOROiSDIDqqdDwrE1PheDgv8kW5XFDC0VcUZb5EI77Bqqfr1vnwToAmcVNTh9IneHa4&#10;92EKfQqJr3lQst1KpZLhds1GOXJg2Cbb9J3QfwpThgw1vV6Ui4mBv0Lk6fsThJYB+11JXdOrcxCr&#10;Im9vTYtpsiowqaY9VqfMicjI3cRiGJvxpBjGR5IbaI/IrIOpvXEccdOD+07JgK1dU/9tz5ygRL03&#10;qM51MZ/HWUjGfLEs0XCXnubSwwxHqJoGSqbtJqT5SbzZW1RxKxO/z5mcUsaWTQqdxivOxKWdop5/&#10;AusfAAAA//8DAFBLAwQUAAYACAAAACEAUi3pMt4AAAAKAQAADwAAAGRycy9kb3ducmV2LnhtbEyP&#10;wU7DMBBE70j8g7VIXCrqpCVRG+JUUKknTg3l7sZLEhGvg+226d+znOhxZ0azb8rNZAdxRh96RwrS&#10;eQICqXGmp1bB4WP3tAIRoiajB0eo4IoBNtX9XakL4y60x3MdW8ElFAqtoItxLKQMTYdWh7kbkdj7&#10;ct7qyKdvpfH6wuV2kIskyaXVPfGHTo+47bD5rk9WQf5TL2fvn2ZG++vuzTc2M9tDptTjw/T6AiLi&#10;FP/D8IfP6FAx09GdyAQxKFimC94S2XhOQXBgna0yEEcW1kkOsirl7YTqFwAA//8DAFBLAQItABQA&#10;BgAIAAAAIQC2gziS/gAAAOEBAAATAAAAAAAAAAAAAAAAAAAAAABbQ29udGVudF9UeXBlc10ueG1s&#10;UEsBAi0AFAAGAAgAAAAhADj9If/WAAAAlAEAAAsAAAAAAAAAAAAAAAAALwEAAF9yZWxzLy5yZWxz&#10;UEsBAi0AFAAGAAgAAAAhAH9cCZUkAgAATAQAAA4AAAAAAAAAAAAAAAAALgIAAGRycy9lMm9Eb2Mu&#10;eG1sUEsBAi0AFAAGAAgAAAAhAFIt6TLeAAAACgEAAA8AAAAAAAAAAAAAAAAAfgQAAGRycy9kb3du&#10;cmV2LnhtbFBLBQYAAAAABAAEAPMAAACJBQAAAAA=&#10;">
                <v:textbox style="mso-fit-shape-to-text:t">
                  <w:txbxContent>
                    <w:p w:rsidR="00D90CAD" w:rsidRPr="00887EB8" w:rsidRDefault="00D90CAD" w:rsidP="003477BA">
                      <w:pPr>
                        <w:rPr>
                          <w:rFonts w:ascii="Arial" w:hAnsi="Arial" w:cs="Arial"/>
                          <w:sz w:val="22"/>
                          <w:szCs w:val="22"/>
                        </w:rPr>
                      </w:pPr>
                      <w:r w:rsidRPr="00887EB8">
                        <w:rPr>
                          <w:rFonts w:ascii="Arial" w:hAnsi="Arial" w:cs="Arial"/>
                          <w:sz w:val="22"/>
                          <w:szCs w:val="22"/>
                        </w:rPr>
                        <w:t xml:space="preserve">Click2Science provides resources front-line staff can use to increase their skills in engaging youth in STEM.  Click is based on 20 skills related to Planning STEM Experiences, Interacting with Youth </w:t>
                      </w:r>
                      <w:proofErr w:type="gramStart"/>
                      <w:r w:rsidRPr="00887EB8">
                        <w:rPr>
                          <w:rFonts w:ascii="Arial" w:hAnsi="Arial" w:cs="Arial"/>
                          <w:sz w:val="22"/>
                          <w:szCs w:val="22"/>
                        </w:rPr>
                        <w:t>During</w:t>
                      </w:r>
                      <w:proofErr w:type="gramEnd"/>
                      <w:r w:rsidRPr="00887EB8">
                        <w:rPr>
                          <w:rFonts w:ascii="Arial" w:hAnsi="Arial" w:cs="Arial"/>
                          <w:sz w:val="22"/>
                          <w:szCs w:val="22"/>
                        </w:rPr>
                        <w:t xml:space="preserve"> STEM, and Building STEM skills in Youth.</w:t>
                      </w:r>
                    </w:p>
                  </w:txbxContent>
                </v:textbox>
                <w10:wrap type="square" anchorx="margin"/>
              </v:shape>
            </w:pict>
          </mc:Fallback>
        </mc:AlternateContent>
      </w:r>
    </w:p>
    <w:p w:rsidR="007D3C31" w:rsidRPr="007D3C31" w:rsidRDefault="00604EEB" w:rsidP="00604EEB">
      <w:pPr>
        <w:spacing w:after="0"/>
        <w:rPr>
          <w:rFonts w:ascii="Arial" w:eastAsia="Calibri" w:hAnsi="Arial" w:cs="Arial"/>
          <w:sz w:val="22"/>
          <w:szCs w:val="22"/>
        </w:rPr>
      </w:pPr>
      <w:r>
        <w:rPr>
          <w:rFonts w:ascii="Arial" w:eastAsia="Calibri" w:hAnsi="Arial" w:cs="Arial"/>
          <w:noProof/>
          <w:sz w:val="22"/>
          <w:szCs w:val="22"/>
        </w:rPr>
        <w:drawing>
          <wp:inline distT="0" distB="0" distL="0" distR="0" wp14:anchorId="454B69D6" wp14:editId="79280B1C">
            <wp:extent cx="1876425" cy="600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6425" cy="600075"/>
                    </a:xfrm>
                    <a:prstGeom prst="rect">
                      <a:avLst/>
                    </a:prstGeom>
                    <a:noFill/>
                  </pic:spPr>
                </pic:pic>
              </a:graphicData>
            </a:graphic>
          </wp:inline>
        </w:drawing>
      </w:r>
    </w:p>
    <w:p w:rsidR="007D3C31" w:rsidRPr="007D3C31" w:rsidRDefault="007D3C31" w:rsidP="00604EEB">
      <w:pPr>
        <w:spacing w:after="0"/>
        <w:rPr>
          <w:rFonts w:ascii="Arial" w:eastAsia="Calibri" w:hAnsi="Arial" w:cs="Arial"/>
          <w:sz w:val="22"/>
          <w:szCs w:val="22"/>
        </w:rPr>
      </w:pPr>
      <w:r w:rsidRPr="007D3C31">
        <w:rPr>
          <w:rFonts w:ascii="Arial" w:eastAsia="Calibri" w:hAnsi="Arial" w:cs="Arial"/>
          <w:sz w:val="22"/>
          <w:szCs w:val="22"/>
        </w:rPr>
        <w:t xml:space="preserve"> </w:t>
      </w:r>
    </w:p>
    <w:p w:rsidR="007D3C31" w:rsidRPr="007D3C31" w:rsidRDefault="007D3C31" w:rsidP="007D3C31">
      <w:pPr>
        <w:spacing w:after="0"/>
        <w:ind w:firstLine="720"/>
        <w:rPr>
          <w:rFonts w:ascii="Arial" w:eastAsia="Calibri" w:hAnsi="Arial" w:cs="Arial"/>
          <w:sz w:val="22"/>
          <w:szCs w:val="22"/>
        </w:rPr>
      </w:pPr>
    </w:p>
    <w:p w:rsidR="007D3C31" w:rsidRPr="007D3C31" w:rsidRDefault="007D3C31" w:rsidP="007D3C31">
      <w:pPr>
        <w:spacing w:after="0"/>
        <w:rPr>
          <w:rFonts w:ascii="Arial" w:eastAsia="Calibri" w:hAnsi="Arial" w:cs="Arial"/>
          <w:b/>
          <w:sz w:val="22"/>
          <w:szCs w:val="22"/>
        </w:rPr>
      </w:pPr>
    </w:p>
    <w:p w:rsidR="007D3C31" w:rsidRPr="007D3C31" w:rsidRDefault="007D3C31" w:rsidP="007D3C31">
      <w:pPr>
        <w:spacing w:after="0"/>
        <w:rPr>
          <w:rFonts w:ascii="Arial" w:eastAsia="Calibri" w:hAnsi="Arial" w:cs="Arial"/>
          <w:b/>
          <w:sz w:val="22"/>
          <w:szCs w:val="22"/>
        </w:rPr>
      </w:pPr>
    </w:p>
    <w:p w:rsidR="007D3C31" w:rsidRPr="007D3C31" w:rsidRDefault="007D3C31" w:rsidP="007D3C31">
      <w:pPr>
        <w:spacing w:after="0"/>
        <w:rPr>
          <w:rFonts w:ascii="Arial" w:eastAsia="Calibri" w:hAnsi="Arial" w:cs="Arial"/>
          <w:b/>
          <w:sz w:val="22"/>
          <w:szCs w:val="22"/>
        </w:rPr>
      </w:pPr>
    </w:p>
    <w:p w:rsidR="007D3C31" w:rsidRPr="007D3C31" w:rsidRDefault="007D3C31" w:rsidP="007D3C31">
      <w:pPr>
        <w:spacing w:after="0"/>
        <w:rPr>
          <w:rFonts w:ascii="Arial" w:eastAsia="Calibri" w:hAnsi="Arial" w:cs="Arial"/>
          <w:b/>
          <w:sz w:val="22"/>
          <w:szCs w:val="22"/>
        </w:rPr>
      </w:pPr>
    </w:p>
    <w:p w:rsidR="007D3C31" w:rsidRPr="007D3C31" w:rsidRDefault="007D3C31" w:rsidP="007D3C31">
      <w:pPr>
        <w:spacing w:after="0"/>
        <w:rPr>
          <w:rFonts w:ascii="Arial" w:eastAsia="Calibri" w:hAnsi="Arial" w:cs="Arial"/>
          <w:b/>
          <w:sz w:val="22"/>
          <w:szCs w:val="22"/>
        </w:rPr>
      </w:pPr>
    </w:p>
    <w:p w:rsidR="007D3C31" w:rsidRPr="007D3C31" w:rsidRDefault="007D3C31" w:rsidP="007D3C31">
      <w:pPr>
        <w:spacing w:after="0"/>
        <w:rPr>
          <w:rFonts w:ascii="Arial" w:eastAsia="Calibri" w:hAnsi="Arial" w:cs="Arial"/>
          <w:b/>
          <w:sz w:val="22"/>
          <w:szCs w:val="22"/>
        </w:rPr>
      </w:pPr>
    </w:p>
    <w:p w:rsidR="00604EEB" w:rsidRDefault="00604EEB" w:rsidP="007D3C31">
      <w:pPr>
        <w:spacing w:after="0"/>
        <w:rPr>
          <w:rFonts w:ascii="Arial" w:eastAsia="Calibri" w:hAnsi="Arial" w:cs="Arial"/>
          <w:b/>
          <w:sz w:val="22"/>
          <w:szCs w:val="22"/>
        </w:rPr>
      </w:pPr>
    </w:p>
    <w:p w:rsidR="007D3C31" w:rsidRDefault="00604EEB" w:rsidP="007D3C31">
      <w:pPr>
        <w:spacing w:after="0"/>
        <w:rPr>
          <w:rFonts w:ascii="Arial" w:eastAsia="Calibri" w:hAnsi="Arial" w:cs="Arial"/>
          <w:b/>
          <w:sz w:val="22"/>
          <w:szCs w:val="22"/>
        </w:rPr>
      </w:pPr>
      <w:r>
        <w:rPr>
          <w:rFonts w:ascii="Arial" w:eastAsia="Calibri" w:hAnsi="Arial" w:cs="Arial"/>
          <w:b/>
          <w:sz w:val="22"/>
          <w:szCs w:val="22"/>
        </w:rPr>
        <w:t>Tools of the Trade  II</w:t>
      </w:r>
    </w:p>
    <w:p w:rsidR="00604EEB" w:rsidRDefault="00604EEB" w:rsidP="007D3C31">
      <w:pPr>
        <w:spacing w:after="0"/>
        <w:rPr>
          <w:rFonts w:ascii="Calibri" w:eastAsia="Calibri" w:hAnsi="Calibri" w:cs="Times New Roman"/>
        </w:rPr>
      </w:pPr>
      <w:r>
        <w:rPr>
          <w:rFonts w:ascii="Arial" w:eastAsia="Calibri" w:hAnsi="Arial" w:cs="Arial"/>
          <w:b/>
          <w:sz w:val="22"/>
          <w:szCs w:val="22"/>
        </w:rPr>
        <w:tab/>
      </w:r>
      <w:r w:rsidRPr="00604EEB">
        <w:rPr>
          <w:rFonts w:ascii="Calibri" w:eastAsia="Calibri" w:hAnsi="Calibri" w:cs="Times New Roman"/>
        </w:rPr>
        <w:t>Inspiring Young Minds to be Science, Engineering, and Technology Ready for Life</w:t>
      </w:r>
    </w:p>
    <w:p w:rsidR="00604EEB" w:rsidRDefault="00604EEB" w:rsidP="007D3C31">
      <w:pPr>
        <w:spacing w:after="0"/>
        <w:rPr>
          <w:rFonts w:ascii="Calibri" w:eastAsia="Calibri" w:hAnsi="Calibri" w:cs="Times New Roman"/>
        </w:rPr>
      </w:pPr>
    </w:p>
    <w:p w:rsidR="00604EEB" w:rsidRDefault="00604EEB" w:rsidP="007D3C31">
      <w:pPr>
        <w:spacing w:after="0"/>
        <w:rPr>
          <w:rFonts w:ascii="Arial" w:eastAsia="Calibri" w:hAnsi="Arial" w:cs="Arial"/>
          <w:b/>
          <w:sz w:val="22"/>
          <w:szCs w:val="22"/>
        </w:rPr>
      </w:pPr>
      <w:r w:rsidRPr="00604EEB">
        <w:rPr>
          <w:rFonts w:ascii="Arial" w:eastAsia="Calibri" w:hAnsi="Arial" w:cs="Arial"/>
          <w:b/>
          <w:noProof/>
          <w:sz w:val="22"/>
          <w:szCs w:val="22"/>
        </w:rPr>
        <w:drawing>
          <wp:inline distT="0" distB="0" distL="0" distR="0" wp14:anchorId="103F1F3F" wp14:editId="609E60EB">
            <wp:extent cx="1200150" cy="1457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457325"/>
                    </a:xfrm>
                    <a:prstGeom prst="rect">
                      <a:avLst/>
                    </a:prstGeom>
                    <a:noFill/>
                    <a:ln>
                      <a:noFill/>
                    </a:ln>
                  </pic:spPr>
                </pic:pic>
              </a:graphicData>
            </a:graphic>
          </wp:inline>
        </w:drawing>
      </w:r>
      <w:r w:rsidRPr="00604EEB">
        <w:rPr>
          <w:rFonts w:ascii="Calibri" w:eastAsia="Calibri" w:hAnsi="Calibri" w:cs="Times New Roman"/>
          <w:noProof/>
        </w:rPr>
        <mc:AlternateContent>
          <mc:Choice Requires="wps">
            <w:drawing>
              <wp:anchor distT="45720" distB="45720" distL="114300" distR="114300" simplePos="0" relativeHeight="251665408" behindDoc="0" locked="0" layoutInCell="1" allowOverlap="1" wp14:anchorId="36F8F794" wp14:editId="083ECB4D">
                <wp:simplePos x="0" y="0"/>
                <wp:positionH relativeFrom="column">
                  <wp:posOffset>2113915</wp:posOffset>
                </wp:positionH>
                <wp:positionV relativeFrom="paragraph">
                  <wp:posOffset>62865</wp:posOffset>
                </wp:positionV>
                <wp:extent cx="3800475" cy="1656715"/>
                <wp:effectExtent l="0" t="0" r="28575"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656715"/>
                        </a:xfrm>
                        <a:prstGeom prst="rect">
                          <a:avLst/>
                        </a:prstGeom>
                        <a:solidFill>
                          <a:srgbClr val="FFFFFF"/>
                        </a:solidFill>
                        <a:ln w="9525">
                          <a:solidFill>
                            <a:srgbClr val="000000"/>
                          </a:solidFill>
                          <a:miter lim="800000"/>
                          <a:headEnd/>
                          <a:tailEnd/>
                        </a:ln>
                      </wps:spPr>
                      <wps:txbx>
                        <w:txbxContent>
                          <w:p w:rsidR="00D90CAD" w:rsidRPr="00887EB8" w:rsidRDefault="00D90CAD">
                            <w:pPr>
                              <w:rPr>
                                <w:rFonts w:ascii="Arial" w:hAnsi="Arial" w:cs="Arial"/>
                                <w:sz w:val="22"/>
                                <w:szCs w:val="22"/>
                              </w:rPr>
                            </w:pPr>
                            <w:r w:rsidRPr="00887EB8">
                              <w:rPr>
                                <w:rFonts w:ascii="Arial" w:hAnsi="Arial" w:cs="Arial"/>
                                <w:sz w:val="22"/>
                                <w:szCs w:val="22"/>
                              </w:rPr>
                              <w:t>Tools of the Trade II is a staff-development guid</w:t>
                            </w:r>
                            <w:r w:rsidR="00AC444E" w:rsidRPr="00887EB8">
                              <w:rPr>
                                <w:rFonts w:ascii="Arial" w:hAnsi="Arial" w:cs="Arial"/>
                                <w:sz w:val="22"/>
                                <w:szCs w:val="22"/>
                              </w:rPr>
                              <w:t>e for afterschool program fro</w:t>
                            </w:r>
                            <w:r w:rsidRPr="00887EB8">
                              <w:rPr>
                                <w:rFonts w:ascii="Arial" w:hAnsi="Arial" w:cs="Arial"/>
                                <w:sz w:val="22"/>
                                <w:szCs w:val="22"/>
                              </w:rPr>
                              <w:t xml:space="preserve">ntline staff and youth workers on incorporating science, engineering, and technology (SET) into afterschool programming. Tools II uses a hands-on, interactive skill-building approach and provides tools drawn from research and best practices to help afterschool staff enhance science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8F794" id="_x0000_s1029" type="#_x0000_t202" style="position:absolute;margin-left:166.45pt;margin-top:4.95pt;width:299.25pt;height:130.4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i1JwIAAEwEAAAOAAAAZHJzL2Uyb0RvYy54bWysVNtu2zAMfR+wfxD0vthOk7Q14hRdugwD&#10;ugvQ7gNoWY6F6TZJiZ19fSk5TbPbyzA/CKJIHR0ekl7eDEqSPXdeGF3RYpJTwjUzjdDbin593Ly5&#10;osQH0A1Io3lFD9zTm9XrV8velnxqOiMb7giCaF/2tqJdCLbMMs86rsBPjOUana1xCgKabps1DnpE&#10;VzKb5vki641rrDOMe4+nd6OTrhJ+23IWPret54HIiiK3kFaX1jqu2WoJ5daB7QQ70oB/YKFAaHz0&#10;BHUHAcjOid+glGDOeNOGCTMqM20rGE85YDZF/ks2Dx1YnnJBcbw9yeT/Hyz7tP/iiGgqOqdEg8IS&#10;PfIhkLdmINOoTm99iUEPFsPCgMdY5ZSpt/eGffNEm3UHestvnTN9x6FBdkW8mZ1dHXF8BKn7j6bB&#10;Z2AXTAIaWqeidCgGQXSs0uFUmUiF4eHFVZ7PLpEiQ1+xmC8ui3l6A8rn69b58J4bReKmog5Ln+Bh&#10;f+9DpAPlc0h8zRspmo2QMhluW6+lI3vANtmk74j+U5jUpK/o9Xw6HxX4K0Sevj9BKBGw36VQFcWU&#10;8ItBUEbd3ukm7QMIOe6RstRHIaN2o4phqIdUsYt4N4pcm+aAyjoztjeOI246435Q0mNrV9R/34Hj&#10;lMgPGqtzXcxmcRaSMZtfTtFw55763AOaIVRFAyXjdh3S/CTd7C1WcSOSvi9MjpSxZZPsx/GKM3Fu&#10;p6iXn8DqCQAA//8DAFBLAwQUAAYACAAAACEArdOgCt8AAAAJAQAADwAAAGRycy9kb3ducmV2Lnht&#10;bEyPwU7DMBBE70j8g7VIXCrqNKGlCdlUUKknTg3l7sZLEhGvg+226d9jTnAarWY087bcTGYQZ3K+&#10;t4ywmCcgiBure24RDu+7hzUIHxRrNVgmhCt52FS3N6UqtL3wns51aEUsYV8ohC6EsZDSNx0Z5ed2&#10;JI7ep3VGhXi6VmqnLrHcDDJNkpU0que40KmRth01X/XJIKy+62z29qFnvL/uXl1jlnp7WCLe300v&#10;zyACTeEvDL/4ER2qyHS0J9ZeDAhZluYxipBHiX6eLR5BHBHSp2QNsirl/w+qHwAAAP//AwBQSwEC&#10;LQAUAAYACAAAACEAtoM4kv4AAADhAQAAEwAAAAAAAAAAAAAAAAAAAAAAW0NvbnRlbnRfVHlwZXNd&#10;LnhtbFBLAQItABQABgAIAAAAIQA4/SH/1gAAAJQBAAALAAAAAAAAAAAAAAAAAC8BAABfcmVscy8u&#10;cmVsc1BLAQItABQABgAIAAAAIQCLOai1JwIAAEwEAAAOAAAAAAAAAAAAAAAAAC4CAABkcnMvZTJv&#10;RG9jLnhtbFBLAQItABQABgAIAAAAIQCt06AK3wAAAAkBAAAPAAAAAAAAAAAAAAAAAIEEAABkcnMv&#10;ZG93bnJldi54bWxQSwUGAAAAAAQABADzAAAAjQUAAAAA&#10;">
                <v:textbox style="mso-fit-shape-to-text:t">
                  <w:txbxContent>
                    <w:p w:rsidR="00D90CAD" w:rsidRPr="00887EB8" w:rsidRDefault="00D90CAD">
                      <w:pPr>
                        <w:rPr>
                          <w:rFonts w:ascii="Arial" w:hAnsi="Arial" w:cs="Arial"/>
                          <w:sz w:val="22"/>
                          <w:szCs w:val="22"/>
                        </w:rPr>
                      </w:pPr>
                      <w:r w:rsidRPr="00887EB8">
                        <w:rPr>
                          <w:rFonts w:ascii="Arial" w:hAnsi="Arial" w:cs="Arial"/>
                          <w:sz w:val="22"/>
                          <w:szCs w:val="22"/>
                        </w:rPr>
                        <w:t>Tools of the Trade II is a staff-development guid</w:t>
                      </w:r>
                      <w:r w:rsidR="00AC444E" w:rsidRPr="00887EB8">
                        <w:rPr>
                          <w:rFonts w:ascii="Arial" w:hAnsi="Arial" w:cs="Arial"/>
                          <w:sz w:val="22"/>
                          <w:szCs w:val="22"/>
                        </w:rPr>
                        <w:t>e for afterschool program fro</w:t>
                      </w:r>
                      <w:r w:rsidRPr="00887EB8">
                        <w:rPr>
                          <w:rFonts w:ascii="Arial" w:hAnsi="Arial" w:cs="Arial"/>
                          <w:sz w:val="22"/>
                          <w:szCs w:val="22"/>
                        </w:rPr>
                        <w:t xml:space="preserve">ntline staff and youth workers on incorporating science, engineering, and technology (SET) into afterschool programming. Tools II uses a hands-on, interactive skill-building approach and provides tools drawn from research and best practices to help afterschool staff enhance science education </w:t>
                      </w:r>
                    </w:p>
                  </w:txbxContent>
                </v:textbox>
                <w10:wrap type="square"/>
              </v:shape>
            </w:pict>
          </mc:Fallback>
        </mc:AlternateConten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604EEB" w:rsidRDefault="00604EEB" w:rsidP="007D3C31">
      <w:pPr>
        <w:spacing w:after="0"/>
        <w:rPr>
          <w:rFonts w:ascii="Arial" w:eastAsia="Calibri" w:hAnsi="Arial" w:cs="Arial"/>
          <w:b/>
          <w:sz w:val="22"/>
          <w:szCs w:val="22"/>
        </w:rPr>
      </w:pPr>
    </w:p>
    <w:p w:rsidR="00AC444E" w:rsidRDefault="00AC444E" w:rsidP="007D3C31">
      <w:pPr>
        <w:spacing w:after="0"/>
        <w:rPr>
          <w:rFonts w:ascii="Arial" w:eastAsia="Calibri" w:hAnsi="Arial" w:cs="Arial"/>
          <w:b/>
          <w:sz w:val="22"/>
          <w:szCs w:val="22"/>
        </w:rPr>
      </w:pPr>
    </w:p>
    <w:p w:rsidR="00AC444E" w:rsidRDefault="00AC444E" w:rsidP="007D3C31">
      <w:pPr>
        <w:spacing w:after="0"/>
        <w:rPr>
          <w:rFonts w:ascii="Arial" w:eastAsia="Calibri" w:hAnsi="Arial" w:cs="Arial"/>
          <w:b/>
          <w:sz w:val="22"/>
          <w:szCs w:val="22"/>
        </w:rPr>
      </w:pPr>
    </w:p>
    <w:p w:rsidR="00AC444E" w:rsidRDefault="00AC444E" w:rsidP="007D3C31">
      <w:pPr>
        <w:spacing w:after="0"/>
        <w:rPr>
          <w:rFonts w:ascii="Arial" w:eastAsia="Calibri" w:hAnsi="Arial" w:cs="Arial"/>
          <w:b/>
          <w:sz w:val="22"/>
          <w:szCs w:val="22"/>
        </w:rPr>
      </w:pPr>
      <w:r>
        <w:rPr>
          <w:rFonts w:ascii="Arial" w:eastAsia="Calibri" w:hAnsi="Arial" w:cs="Arial"/>
          <w:b/>
          <w:sz w:val="22"/>
          <w:szCs w:val="22"/>
        </w:rPr>
        <w:t>Learn, Grow, Eat, and Go</w:t>
      </w:r>
    </w:p>
    <w:p w:rsidR="00AC444E" w:rsidRPr="00AC444E" w:rsidRDefault="005F4A99" w:rsidP="007D3C31">
      <w:pPr>
        <w:spacing w:after="0"/>
        <w:rPr>
          <w:rFonts w:ascii="Arial" w:eastAsia="Calibri" w:hAnsi="Arial" w:cs="Arial"/>
          <w:sz w:val="22"/>
          <w:szCs w:val="22"/>
        </w:rPr>
      </w:pPr>
      <w:r>
        <w:rPr>
          <w:rFonts w:ascii="Arial" w:eastAsia="Calibri" w:hAnsi="Arial" w:cs="Arial"/>
          <w:sz w:val="22"/>
          <w:szCs w:val="22"/>
        </w:rPr>
        <w:tab/>
        <w:t>Learn, Grow, Eat, and Go:</w:t>
      </w:r>
      <w:r>
        <w:rPr>
          <w:rFonts w:ascii="Arial" w:eastAsia="Calibri" w:hAnsi="Arial" w:cs="Arial"/>
          <w:sz w:val="22"/>
          <w:szCs w:val="22"/>
        </w:rPr>
        <w:tab/>
      </w:r>
      <w:hyperlink r:id="rId18" w:history="1">
        <w:r w:rsidRPr="00A8183B">
          <w:rPr>
            <w:rStyle w:val="Hyperlink"/>
            <w:rFonts w:ascii="Arial" w:eastAsia="Calibri" w:hAnsi="Arial" w:cs="Arial"/>
            <w:sz w:val="22"/>
            <w:szCs w:val="22"/>
          </w:rPr>
          <w:t>http://jmgkids.us/lgeg/</w:t>
        </w:r>
      </w:hyperlink>
      <w:r>
        <w:rPr>
          <w:rFonts w:ascii="Arial" w:eastAsia="Calibri" w:hAnsi="Arial" w:cs="Arial"/>
          <w:sz w:val="22"/>
          <w:szCs w:val="22"/>
        </w:rPr>
        <w:t xml:space="preserve"> </w:t>
      </w:r>
    </w:p>
    <w:p w:rsidR="00AC444E" w:rsidRDefault="00AC444E" w:rsidP="007D3C31">
      <w:pPr>
        <w:spacing w:after="0"/>
        <w:rPr>
          <w:rFonts w:ascii="Arial" w:eastAsia="Calibri" w:hAnsi="Arial" w:cs="Arial"/>
          <w:b/>
          <w:sz w:val="22"/>
          <w:szCs w:val="22"/>
        </w:rPr>
      </w:pPr>
    </w:p>
    <w:p w:rsidR="00AC444E" w:rsidRDefault="00AC444E" w:rsidP="007D3C31">
      <w:pPr>
        <w:spacing w:after="0"/>
        <w:rPr>
          <w:rFonts w:ascii="Arial" w:eastAsia="Calibri" w:hAnsi="Arial" w:cs="Arial"/>
          <w:b/>
          <w:sz w:val="22"/>
          <w:szCs w:val="22"/>
        </w:rPr>
      </w:pPr>
      <w:r w:rsidRPr="00AC444E">
        <w:rPr>
          <w:rFonts w:ascii="Arial" w:eastAsia="Calibri" w:hAnsi="Arial" w:cs="Arial"/>
          <w:b/>
          <w:noProof/>
          <w:sz w:val="22"/>
          <w:szCs w:val="22"/>
        </w:rPr>
        <mc:AlternateContent>
          <mc:Choice Requires="wps">
            <w:drawing>
              <wp:anchor distT="45720" distB="45720" distL="114300" distR="114300" simplePos="0" relativeHeight="251667456" behindDoc="0" locked="0" layoutInCell="1" allowOverlap="1">
                <wp:simplePos x="0" y="0"/>
                <wp:positionH relativeFrom="column">
                  <wp:posOffset>2143125</wp:posOffset>
                </wp:positionH>
                <wp:positionV relativeFrom="paragraph">
                  <wp:posOffset>10795</wp:posOffset>
                </wp:positionV>
                <wp:extent cx="3762375" cy="18002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800225"/>
                        </a:xfrm>
                        <a:prstGeom prst="rect">
                          <a:avLst/>
                        </a:prstGeom>
                        <a:solidFill>
                          <a:srgbClr val="FFFFFF"/>
                        </a:solidFill>
                        <a:ln w="9525">
                          <a:solidFill>
                            <a:srgbClr val="000000"/>
                          </a:solidFill>
                          <a:miter lim="800000"/>
                          <a:headEnd/>
                          <a:tailEnd/>
                        </a:ln>
                      </wps:spPr>
                      <wps:txbx>
                        <w:txbxContent>
                          <w:p w:rsidR="00AC444E" w:rsidRPr="00887EB8" w:rsidRDefault="00AC444E" w:rsidP="00AC444E">
                            <w:pPr>
                              <w:rPr>
                                <w:rFonts w:ascii="Arial" w:hAnsi="Arial" w:cs="Arial"/>
                                <w:sz w:val="22"/>
                                <w:szCs w:val="22"/>
                              </w:rPr>
                            </w:pPr>
                            <w:r w:rsidRPr="00887EB8">
                              <w:rPr>
                                <w:rFonts w:ascii="Arial" w:hAnsi="Arial" w:cs="Arial"/>
                                <w:sz w:val="22"/>
                                <w:szCs w:val="22"/>
                              </w:rPr>
                              <w:t>Learn, Grow, Eat &amp; GO! is the new research-based curriculum of the International Junior Master Gardener® Program.  This multifaceted garden, nutrition, and physical activities curriculum includes twenty hands-on lessons in a 10 week program.  Students will understand how plants provide for people’s needs. Gardening, fresh vegetable tasting/evaluation, simple recipe demos, and physical activities that research shows can improve on-task behavior and academic performance are featured.</w:t>
                            </w:r>
                          </w:p>
                          <w:p w:rsidR="00AC444E" w:rsidRDefault="00AC4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8.75pt;margin-top:.85pt;width:296.25pt;height:14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zJQIAAEw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U1FslGEa&#10;W/QohkDewkCKyE5vfYlODxbdwoDX2OVUqbf3wL95YmDdMbMVt85B3wnWYHbT+DI7ezri+AhS9x+h&#10;wTBsFyABDa3TkTokgyA6dulw6kxMhePlxeKyuFjMKeFom17leVHMUwxWPj+3zof3AjSJQkUdtj7B&#10;s/29DzEdVj67xGgelGw2UqmkuG29Vo7sGY7JJn1H9J/clCF9Ra/nGPvvEHn6/gShZcB5V1Ij4Scn&#10;Vkbe3pkmTWNgUo0ypqzMkcjI3chiGOohdWwWA0SSa2gOyKyDcbxxHVHowP2gpMfRrqj/vmNOUKI+&#10;GOzO9XQ2i7uQlNl8UaDizi31uYUZjlAVDZSM4jqk/YkMGLjFLrYy8fuSyTFlHNlE+3G94k6c68nr&#10;5SewegIAAP//AwBQSwMEFAAGAAgAAAAhAFKG8CbfAAAACQEAAA8AAABkcnMvZG93bnJldi54bWxM&#10;j8FOwzAQRO9I/IO1SFwQdUhok4Y4FUICwQ0Kgqsbb5OIeB1sNw1/z3KC4+qNZt9Um9kOYkIfekcK&#10;rhYJCKTGmZ5aBW+v95cFiBA1GT04QgXfGGBTn55UujTuSC84bWMruIRCqRV0MY6llKHp0OqwcCMS&#10;s73zVkc+fSuN10cut4NMk2Qlre6JP3R6xLsOm8/twSoorh+nj/CUPb83q/2wjhf59PDllTo/m29v&#10;QESc418YfvVZHWp22rkDmSAGBVmWLznKIAfBfJ0lvG2nIC2WKci6kv8X1D8AAAD//wMAUEsBAi0A&#10;FAAGAAgAAAAhALaDOJL+AAAA4QEAABMAAAAAAAAAAAAAAAAAAAAAAFtDb250ZW50X1R5cGVzXS54&#10;bWxQSwECLQAUAAYACAAAACEAOP0h/9YAAACUAQAACwAAAAAAAAAAAAAAAAAvAQAAX3JlbHMvLnJl&#10;bHNQSwECLQAUAAYACAAAACEAC/w1MyUCAABMBAAADgAAAAAAAAAAAAAAAAAuAgAAZHJzL2Uyb0Rv&#10;Yy54bWxQSwECLQAUAAYACAAAACEAUobwJt8AAAAJAQAADwAAAAAAAAAAAAAAAAB/BAAAZHJzL2Rv&#10;d25yZXYueG1sUEsFBgAAAAAEAAQA8wAAAIsFAAAAAA==&#10;">
                <v:textbox>
                  <w:txbxContent>
                    <w:p w:rsidR="00AC444E" w:rsidRPr="00887EB8" w:rsidRDefault="00AC444E" w:rsidP="00AC444E">
                      <w:pPr>
                        <w:rPr>
                          <w:rFonts w:ascii="Arial" w:hAnsi="Arial" w:cs="Arial"/>
                          <w:sz w:val="22"/>
                          <w:szCs w:val="22"/>
                        </w:rPr>
                      </w:pPr>
                      <w:r w:rsidRPr="00887EB8">
                        <w:rPr>
                          <w:rFonts w:ascii="Arial" w:hAnsi="Arial" w:cs="Arial"/>
                          <w:sz w:val="22"/>
                          <w:szCs w:val="22"/>
                        </w:rPr>
                        <w:t xml:space="preserve">Learn, Grow, Eat &amp; GO! </w:t>
                      </w:r>
                      <w:proofErr w:type="gramStart"/>
                      <w:r w:rsidRPr="00887EB8">
                        <w:rPr>
                          <w:rFonts w:ascii="Arial" w:hAnsi="Arial" w:cs="Arial"/>
                          <w:sz w:val="22"/>
                          <w:szCs w:val="22"/>
                        </w:rPr>
                        <w:t>is</w:t>
                      </w:r>
                      <w:proofErr w:type="gramEnd"/>
                      <w:r w:rsidRPr="00887EB8">
                        <w:rPr>
                          <w:rFonts w:ascii="Arial" w:hAnsi="Arial" w:cs="Arial"/>
                          <w:sz w:val="22"/>
                          <w:szCs w:val="22"/>
                        </w:rPr>
                        <w:t xml:space="preserve"> the new research-based curriculum of the International Junior Master Gardener® Program.  </w:t>
                      </w:r>
                      <w:r w:rsidRPr="00887EB8">
                        <w:rPr>
                          <w:rFonts w:ascii="Arial" w:hAnsi="Arial" w:cs="Arial"/>
                          <w:sz w:val="22"/>
                          <w:szCs w:val="22"/>
                        </w:rPr>
                        <w:t>T</w:t>
                      </w:r>
                      <w:r w:rsidRPr="00887EB8">
                        <w:rPr>
                          <w:rFonts w:ascii="Arial" w:hAnsi="Arial" w:cs="Arial"/>
                          <w:sz w:val="22"/>
                          <w:szCs w:val="22"/>
                        </w:rPr>
                        <w:t>his multifaceted garden, nutrition, and ph</w:t>
                      </w:r>
                      <w:r w:rsidRPr="00887EB8">
                        <w:rPr>
                          <w:rFonts w:ascii="Arial" w:hAnsi="Arial" w:cs="Arial"/>
                          <w:sz w:val="22"/>
                          <w:szCs w:val="22"/>
                        </w:rPr>
                        <w:t>ysical activities curriculum includes</w:t>
                      </w:r>
                      <w:r w:rsidRPr="00887EB8">
                        <w:rPr>
                          <w:rFonts w:ascii="Arial" w:hAnsi="Arial" w:cs="Arial"/>
                          <w:sz w:val="22"/>
                          <w:szCs w:val="22"/>
                        </w:rPr>
                        <w:t xml:space="preserve"> twenty han</w:t>
                      </w:r>
                      <w:r w:rsidRPr="00887EB8">
                        <w:rPr>
                          <w:rFonts w:ascii="Arial" w:hAnsi="Arial" w:cs="Arial"/>
                          <w:sz w:val="22"/>
                          <w:szCs w:val="22"/>
                        </w:rPr>
                        <w:t>ds-on lessons in a 10 week program.  S</w:t>
                      </w:r>
                      <w:r w:rsidRPr="00887EB8">
                        <w:rPr>
                          <w:rFonts w:ascii="Arial" w:hAnsi="Arial" w:cs="Arial"/>
                          <w:sz w:val="22"/>
                          <w:szCs w:val="22"/>
                        </w:rPr>
                        <w:t xml:space="preserve">tudents will understand how plants provide for people’s needs. </w:t>
                      </w:r>
                      <w:r w:rsidRPr="00887EB8">
                        <w:rPr>
                          <w:rFonts w:ascii="Arial" w:hAnsi="Arial" w:cs="Arial"/>
                          <w:sz w:val="22"/>
                          <w:szCs w:val="22"/>
                        </w:rPr>
                        <w:t>Gardening, f</w:t>
                      </w:r>
                      <w:r w:rsidRPr="00887EB8">
                        <w:rPr>
                          <w:rFonts w:ascii="Arial" w:hAnsi="Arial" w:cs="Arial"/>
                          <w:sz w:val="22"/>
                          <w:szCs w:val="22"/>
                        </w:rPr>
                        <w:t>resh vegetable tasting/evaluation, simple recipe demos, and physical activities that research shows can improve on-task behavior and a</w:t>
                      </w:r>
                      <w:r w:rsidRPr="00887EB8">
                        <w:rPr>
                          <w:rFonts w:ascii="Arial" w:hAnsi="Arial" w:cs="Arial"/>
                          <w:sz w:val="22"/>
                          <w:szCs w:val="22"/>
                        </w:rPr>
                        <w:t>cademic performance are featured</w:t>
                      </w:r>
                      <w:r w:rsidRPr="00887EB8">
                        <w:rPr>
                          <w:rFonts w:ascii="Arial" w:hAnsi="Arial" w:cs="Arial"/>
                          <w:sz w:val="22"/>
                          <w:szCs w:val="22"/>
                        </w:rPr>
                        <w:t>.</w:t>
                      </w:r>
                    </w:p>
                    <w:p w:rsidR="00AC444E" w:rsidRDefault="00AC444E"/>
                  </w:txbxContent>
                </v:textbox>
                <w10:wrap type="square"/>
              </v:shape>
            </w:pict>
          </mc:Fallback>
        </mc:AlternateContent>
      </w:r>
      <w:r>
        <w:rPr>
          <w:noProof/>
        </w:rPr>
        <w:drawing>
          <wp:inline distT="0" distB="0" distL="0" distR="0" wp14:anchorId="0CD37A76" wp14:editId="2FD810A2">
            <wp:extent cx="1724025" cy="1685925"/>
            <wp:effectExtent l="0" t="0" r="9525" b="9525"/>
            <wp:docPr id="3074" name="Picture 2" descr="E:\Dissemenation\Regional LGEG Training\LGEG-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E:\Dissemenation\Regional LGEG Training\LGEG-web-banner.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724025" cy="1685925"/>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AC444E" w:rsidRDefault="00AC444E" w:rsidP="007D3C31">
      <w:pPr>
        <w:spacing w:after="0"/>
        <w:rPr>
          <w:rFonts w:ascii="Arial" w:eastAsia="Calibri" w:hAnsi="Arial" w:cs="Arial"/>
          <w:b/>
          <w:sz w:val="22"/>
          <w:szCs w:val="22"/>
        </w:rPr>
      </w:pPr>
    </w:p>
    <w:p w:rsidR="00AC444E" w:rsidRDefault="00AC444E" w:rsidP="007D3C31">
      <w:pPr>
        <w:spacing w:after="0"/>
        <w:rPr>
          <w:rFonts w:ascii="Arial" w:eastAsia="Calibri" w:hAnsi="Arial" w:cs="Arial"/>
          <w:b/>
          <w:sz w:val="22"/>
          <w:szCs w:val="22"/>
        </w:rPr>
      </w:pPr>
    </w:p>
    <w:p w:rsidR="00AC444E" w:rsidRDefault="00AC444E" w:rsidP="007D3C31">
      <w:pPr>
        <w:spacing w:after="0"/>
        <w:rPr>
          <w:rFonts w:ascii="Arial" w:eastAsia="Calibri" w:hAnsi="Arial" w:cs="Arial"/>
          <w:b/>
          <w:sz w:val="22"/>
          <w:szCs w:val="22"/>
        </w:rPr>
      </w:pPr>
    </w:p>
    <w:p w:rsidR="00AC444E" w:rsidRDefault="00AC444E" w:rsidP="007D3C31">
      <w:pPr>
        <w:spacing w:after="0"/>
        <w:rPr>
          <w:rFonts w:ascii="Arial" w:eastAsia="Calibri" w:hAnsi="Arial" w:cs="Arial"/>
          <w:b/>
          <w:sz w:val="22"/>
          <w:szCs w:val="22"/>
        </w:rPr>
      </w:pPr>
    </w:p>
    <w:p w:rsidR="00604EEB" w:rsidRPr="00604EEB" w:rsidRDefault="00604EEB" w:rsidP="007D3C31">
      <w:pPr>
        <w:spacing w:after="0"/>
        <w:rPr>
          <w:rFonts w:ascii="Arial" w:eastAsia="Calibri" w:hAnsi="Arial" w:cs="Arial"/>
          <w:b/>
          <w:sz w:val="22"/>
          <w:szCs w:val="22"/>
        </w:rPr>
      </w:pP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p>
    <w:p w:rsidR="007D3C31" w:rsidRPr="007D3C31" w:rsidRDefault="007D3C31" w:rsidP="007D3C31">
      <w:pPr>
        <w:spacing w:after="0"/>
        <w:rPr>
          <w:rFonts w:ascii="Arial" w:eastAsia="Calibri" w:hAnsi="Arial" w:cs="Arial"/>
          <w:b/>
          <w:sz w:val="22"/>
          <w:szCs w:val="22"/>
        </w:rPr>
      </w:pPr>
    </w:p>
    <w:p w:rsidR="007D3C31" w:rsidRPr="007D3C31" w:rsidRDefault="007D3C31" w:rsidP="007D3C31">
      <w:pPr>
        <w:spacing w:after="0"/>
        <w:rPr>
          <w:rFonts w:ascii="Arial" w:eastAsia="Calibri" w:hAnsi="Arial" w:cs="Arial"/>
          <w:b/>
          <w:sz w:val="22"/>
          <w:szCs w:val="22"/>
        </w:rPr>
      </w:pPr>
    </w:p>
    <w:p w:rsidR="007D3C31" w:rsidRPr="007D3C31" w:rsidRDefault="007D3C31" w:rsidP="007D3C31">
      <w:pPr>
        <w:spacing w:after="0"/>
        <w:rPr>
          <w:rFonts w:ascii="Arial" w:eastAsia="Calibri" w:hAnsi="Arial" w:cs="Arial"/>
          <w:b/>
          <w:sz w:val="22"/>
          <w:szCs w:val="22"/>
        </w:rPr>
      </w:pPr>
    </w:p>
    <w:tbl>
      <w:tblPr>
        <w:tblW w:w="9000" w:type="dxa"/>
        <w:tblCellMar>
          <w:left w:w="0" w:type="dxa"/>
          <w:right w:w="0" w:type="dxa"/>
        </w:tblCellMar>
        <w:tblLook w:val="04A0" w:firstRow="1" w:lastRow="0" w:firstColumn="1" w:lastColumn="0" w:noHBand="0" w:noVBand="1"/>
      </w:tblPr>
      <w:tblGrid>
        <w:gridCol w:w="9000"/>
      </w:tblGrid>
      <w:tr w:rsidR="007D3C31" w:rsidRPr="007D3C31" w:rsidTr="00E50838">
        <w:tc>
          <w:tcPr>
            <w:tcW w:w="0" w:type="auto"/>
            <w:shd w:val="clear" w:color="auto" w:fill="auto"/>
            <w:vAlign w:val="center"/>
          </w:tcPr>
          <w:p w:rsidR="007D3C31" w:rsidRPr="007D3C31" w:rsidRDefault="007D3C31" w:rsidP="007D3C31">
            <w:pPr>
              <w:spacing w:after="0" w:line="300" w:lineRule="atLeast"/>
              <w:rPr>
                <w:rFonts w:ascii="Helvetica" w:eastAsia="Times New Roman" w:hAnsi="Helvetica" w:cs="Helvetica"/>
                <w:color w:val="333333"/>
                <w:sz w:val="21"/>
                <w:szCs w:val="21"/>
              </w:rPr>
            </w:pPr>
          </w:p>
        </w:tc>
      </w:tr>
    </w:tbl>
    <w:p w:rsidR="00D6693A" w:rsidRDefault="00D6693A" w:rsidP="007D3C31">
      <w:pPr>
        <w:spacing w:after="0"/>
        <w:rPr>
          <w:rFonts w:ascii="Calibri" w:hAnsi="Calibri" w:cs="Calibri"/>
          <w:b/>
          <w:sz w:val="28"/>
        </w:rPr>
      </w:pPr>
    </w:p>
    <w:sectPr w:rsidR="00D6693A" w:rsidSect="00D6693A">
      <w:footerReference w:type="default" r:id="rId20"/>
      <w:headerReference w:type="first" r:id="rId21"/>
      <w:footerReference w:type="first" r:id="rId22"/>
      <w:pgSz w:w="12240" w:h="15840"/>
      <w:pgMar w:top="1440" w:right="1440" w:bottom="1440" w:left="1440" w:header="0" w:footer="2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5ED" w:rsidRDefault="00B705ED">
      <w:pPr>
        <w:spacing w:after="0"/>
      </w:pPr>
      <w:r>
        <w:separator/>
      </w:r>
    </w:p>
  </w:endnote>
  <w:endnote w:type="continuationSeparator" w:id="0">
    <w:p w:rsidR="00B705ED" w:rsidRDefault="00B705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AD" w:rsidRPr="00CB13B8" w:rsidRDefault="00D90CAD" w:rsidP="001272E9">
    <w:pPr>
      <w:pStyle w:val="Footer"/>
      <w:tabs>
        <w:tab w:val="clear" w:pos="8640"/>
        <w:tab w:val="right" w:pos="9270"/>
      </w:tabs>
      <w:ind w:right="540"/>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AD" w:rsidRPr="00D76295" w:rsidRDefault="00D90CAD" w:rsidP="00D76295">
    <w:pPr>
      <w:pStyle w:val="Footer"/>
      <w:jc w:val="center"/>
      <w:rPr>
        <w:sz w:val="16"/>
        <w:szCs w:val="18"/>
      </w:rPr>
    </w:pPr>
    <w:r w:rsidRPr="00D76295">
      <w:rPr>
        <w:sz w:val="16"/>
        <w:szCs w:val="18"/>
      </w:rPr>
      <w:t>Extension programs and employment are available to all without discrimination.</w:t>
    </w:r>
  </w:p>
  <w:p w:rsidR="00D90CAD" w:rsidRPr="00D76295" w:rsidRDefault="00D90CAD" w:rsidP="00D76295">
    <w:pPr>
      <w:pStyle w:val="Footer"/>
      <w:jc w:val="center"/>
      <w:rPr>
        <w:sz w:val="16"/>
        <w:szCs w:val="18"/>
      </w:rPr>
    </w:pPr>
    <w:r w:rsidRPr="00D76295">
      <w:rPr>
        <w:sz w:val="16"/>
        <w:szCs w:val="18"/>
      </w:rPr>
      <w:t>Evidence of noncompliance may be reported through your local Extension office. This material is based upon work supported by the                                                                        National Institute of Food and Agriculture, U.S. Department of Agriculture, and the U.S. Department of Defense  under Award No</w:t>
    </w:r>
    <w:r>
      <w:rPr>
        <w:sz w:val="16"/>
        <w:szCs w:val="18"/>
      </w:rPr>
      <w:t xml:space="preserve">. 2009-48667-05833.     </w:t>
    </w:r>
    <w:r w:rsidRPr="00D76295">
      <w:rPr>
        <w:sz w:val="16"/>
        <w:szCs w:val="18"/>
      </w:rPr>
      <w:t xml:space="preserve">  Developed in partnership with University of Nebraska–Lincoln Extension and Pennsylvania State University Extension</w:t>
    </w:r>
  </w:p>
  <w:p w:rsidR="00D90CAD" w:rsidRPr="00D76295" w:rsidRDefault="00D90CAD" w:rsidP="00D76295">
    <w:pPr>
      <w:pStyle w:val="Footer"/>
      <w:jc w:val="center"/>
      <w:rPr>
        <w:sz w:val="16"/>
        <w:szCs w:val="18"/>
      </w:rPr>
    </w:pPr>
    <w:r w:rsidRPr="00D76295">
      <w:rPr>
        <w:sz w:val="16"/>
        <w:szCs w:val="18"/>
      </w:rPr>
      <w:t xml:space="preserve">Any opinions, findings, conclusions, or recommendations expressed herein are those of the author(s) and do not necessarily reflect the view of the </w:t>
    </w:r>
    <w:r>
      <w:rPr>
        <w:sz w:val="16"/>
        <w:szCs w:val="18"/>
      </w:rPr>
      <w:t xml:space="preserve"> </w:t>
    </w:r>
    <w:r w:rsidRPr="00D76295">
      <w:rPr>
        <w:sz w:val="16"/>
        <w:szCs w:val="18"/>
      </w:rPr>
      <w:t>U.S. Department of Agriculture.</w:t>
    </w:r>
  </w:p>
  <w:p w:rsidR="00D90CAD" w:rsidRPr="00D76295" w:rsidRDefault="00D90CAD" w:rsidP="00D76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5ED" w:rsidRDefault="00B705ED">
      <w:pPr>
        <w:spacing w:after="0"/>
      </w:pPr>
      <w:r>
        <w:separator/>
      </w:r>
    </w:p>
  </w:footnote>
  <w:footnote w:type="continuationSeparator" w:id="0">
    <w:p w:rsidR="00B705ED" w:rsidRDefault="00B705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AD" w:rsidRDefault="00D90CAD">
    <w:pPr>
      <w:pStyle w:val="Header"/>
    </w:pPr>
    <w:r w:rsidRPr="00D76295">
      <w:rPr>
        <w:noProof/>
      </w:rPr>
      <w:drawing>
        <wp:anchor distT="0" distB="0" distL="114300" distR="114300" simplePos="0" relativeHeight="251659264" behindDoc="1" locked="0" layoutInCell="1" allowOverlap="1" wp14:anchorId="532DC30D" wp14:editId="1DA0BB77">
          <wp:simplePos x="0" y="0"/>
          <wp:positionH relativeFrom="column">
            <wp:posOffset>-776081</wp:posOffset>
          </wp:positionH>
          <wp:positionV relativeFrom="paragraph">
            <wp:posOffset>29818</wp:posOffset>
          </wp:positionV>
          <wp:extent cx="7415420" cy="1828800"/>
          <wp:effectExtent l="19050" t="0" r="0" b="0"/>
          <wp:wrapNone/>
          <wp:docPr id="4" name="Picture 2" descr="Current-DOD-USDA-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DOD-USDA-Header.jpg"/>
                  <pic:cNvPicPr/>
                </pic:nvPicPr>
                <pic:blipFill>
                  <a:blip r:embed="rId1"/>
                  <a:srcRect b="-1685"/>
                  <a:stretch>
                    <a:fillRect/>
                  </a:stretch>
                </pic:blipFill>
                <pic:spPr>
                  <a:xfrm>
                    <a:off x="0" y="0"/>
                    <a:ext cx="7415420" cy="182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947"/>
    <w:multiLevelType w:val="hybridMultilevel"/>
    <w:tmpl w:val="F52E8C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308BB"/>
    <w:multiLevelType w:val="hybridMultilevel"/>
    <w:tmpl w:val="8DC8C5F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72862"/>
    <w:multiLevelType w:val="hybridMultilevel"/>
    <w:tmpl w:val="C36A71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C78F1"/>
    <w:multiLevelType w:val="multilevel"/>
    <w:tmpl w:val="1354F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64FC1"/>
    <w:multiLevelType w:val="hybridMultilevel"/>
    <w:tmpl w:val="A9D6E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D4F7E"/>
    <w:multiLevelType w:val="hybridMultilevel"/>
    <w:tmpl w:val="1382B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5B09E1"/>
    <w:multiLevelType w:val="multilevel"/>
    <w:tmpl w:val="7A207BAC"/>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95D48F1"/>
    <w:multiLevelType w:val="hybridMultilevel"/>
    <w:tmpl w:val="242C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1749E"/>
    <w:multiLevelType w:val="hybridMultilevel"/>
    <w:tmpl w:val="202ED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520B6"/>
    <w:multiLevelType w:val="hybridMultilevel"/>
    <w:tmpl w:val="DEBC8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1A3FDF"/>
    <w:multiLevelType w:val="hybridMultilevel"/>
    <w:tmpl w:val="31E80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5B15A7"/>
    <w:multiLevelType w:val="hybridMultilevel"/>
    <w:tmpl w:val="9DA43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AC5E0B"/>
    <w:multiLevelType w:val="hybridMultilevel"/>
    <w:tmpl w:val="46B88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B5616D"/>
    <w:multiLevelType w:val="hybridMultilevel"/>
    <w:tmpl w:val="85EE5E2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1D14BB"/>
    <w:multiLevelType w:val="hybridMultilevel"/>
    <w:tmpl w:val="9B2C9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D77B24"/>
    <w:multiLevelType w:val="hybridMultilevel"/>
    <w:tmpl w:val="DBF61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30B1C"/>
    <w:multiLevelType w:val="hybridMultilevel"/>
    <w:tmpl w:val="D6F2A524"/>
    <w:lvl w:ilvl="0" w:tplc="B84E287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A424E"/>
    <w:multiLevelType w:val="hybridMultilevel"/>
    <w:tmpl w:val="D9CE69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217CE"/>
    <w:multiLevelType w:val="multilevel"/>
    <w:tmpl w:val="BF523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2215F7"/>
    <w:multiLevelType w:val="hybridMultilevel"/>
    <w:tmpl w:val="CE2CF6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5"/>
  </w:num>
  <w:num w:numId="4">
    <w:abstractNumId w:val="18"/>
  </w:num>
  <w:num w:numId="5">
    <w:abstractNumId w:val="13"/>
  </w:num>
  <w:num w:numId="6">
    <w:abstractNumId w:val="0"/>
  </w:num>
  <w:num w:numId="7">
    <w:abstractNumId w:val="6"/>
  </w:num>
  <w:num w:numId="8">
    <w:abstractNumId w:val="9"/>
  </w:num>
  <w:num w:numId="9">
    <w:abstractNumId w:val="4"/>
  </w:num>
  <w:num w:numId="10">
    <w:abstractNumId w:val="14"/>
  </w:num>
  <w:num w:numId="11">
    <w:abstractNumId w:val="8"/>
  </w:num>
  <w:num w:numId="12">
    <w:abstractNumId w:val="10"/>
  </w:num>
  <w:num w:numId="13">
    <w:abstractNumId w:val="7"/>
  </w:num>
  <w:num w:numId="14">
    <w:abstractNumId w:val="3"/>
  </w:num>
  <w:num w:numId="15">
    <w:abstractNumId w:val="17"/>
  </w:num>
  <w:num w:numId="16">
    <w:abstractNumId w:val="5"/>
  </w:num>
  <w:num w:numId="17">
    <w:abstractNumId w:val="2"/>
  </w:num>
  <w:num w:numId="18">
    <w:abstractNumId w:val="1"/>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31"/>
    <w:rsid w:val="000030E8"/>
    <w:rsid w:val="000170E6"/>
    <w:rsid w:val="00076DE2"/>
    <w:rsid w:val="0009013D"/>
    <w:rsid w:val="001272E9"/>
    <w:rsid w:val="00217B91"/>
    <w:rsid w:val="0024094A"/>
    <w:rsid w:val="0024220E"/>
    <w:rsid w:val="0028429E"/>
    <w:rsid w:val="002A2742"/>
    <w:rsid w:val="003260D1"/>
    <w:rsid w:val="0034268B"/>
    <w:rsid w:val="003477BA"/>
    <w:rsid w:val="00422130"/>
    <w:rsid w:val="00424F86"/>
    <w:rsid w:val="00437738"/>
    <w:rsid w:val="0046531F"/>
    <w:rsid w:val="00481151"/>
    <w:rsid w:val="004B0606"/>
    <w:rsid w:val="004D59BC"/>
    <w:rsid w:val="004D613B"/>
    <w:rsid w:val="005B08F9"/>
    <w:rsid w:val="005F4A99"/>
    <w:rsid w:val="00604EEB"/>
    <w:rsid w:val="006D4F31"/>
    <w:rsid w:val="00702F16"/>
    <w:rsid w:val="007519B2"/>
    <w:rsid w:val="007766DF"/>
    <w:rsid w:val="007D3C31"/>
    <w:rsid w:val="007D72CE"/>
    <w:rsid w:val="00805BA9"/>
    <w:rsid w:val="00824768"/>
    <w:rsid w:val="00832811"/>
    <w:rsid w:val="00887EB8"/>
    <w:rsid w:val="008E289F"/>
    <w:rsid w:val="008E6FDA"/>
    <w:rsid w:val="008F1234"/>
    <w:rsid w:val="009355A5"/>
    <w:rsid w:val="00952315"/>
    <w:rsid w:val="00966BE3"/>
    <w:rsid w:val="009870D9"/>
    <w:rsid w:val="009D69A3"/>
    <w:rsid w:val="009E1084"/>
    <w:rsid w:val="00A32CB5"/>
    <w:rsid w:val="00A37500"/>
    <w:rsid w:val="00A478F1"/>
    <w:rsid w:val="00A54F73"/>
    <w:rsid w:val="00AA58EE"/>
    <w:rsid w:val="00AC444E"/>
    <w:rsid w:val="00AE4EF9"/>
    <w:rsid w:val="00B258EF"/>
    <w:rsid w:val="00B462A0"/>
    <w:rsid w:val="00B705ED"/>
    <w:rsid w:val="00BF2DE9"/>
    <w:rsid w:val="00C34A2F"/>
    <w:rsid w:val="00C37BCA"/>
    <w:rsid w:val="00C852D7"/>
    <w:rsid w:val="00CB13B8"/>
    <w:rsid w:val="00CE421E"/>
    <w:rsid w:val="00D6693A"/>
    <w:rsid w:val="00D70AFB"/>
    <w:rsid w:val="00D76295"/>
    <w:rsid w:val="00D90CAD"/>
    <w:rsid w:val="00DD34EA"/>
    <w:rsid w:val="00DE4D90"/>
    <w:rsid w:val="00DE5A7D"/>
    <w:rsid w:val="00E16DEC"/>
    <w:rsid w:val="00E428F1"/>
    <w:rsid w:val="00E50838"/>
    <w:rsid w:val="00EC08F1"/>
    <w:rsid w:val="00EE26D4"/>
    <w:rsid w:val="00EF6A93"/>
    <w:rsid w:val="00F136AF"/>
    <w:rsid w:val="00FA14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99DB1BB"/>
  <w15:docId w15:val="{F524EF05-2A2F-4E44-A256-CA67BD04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7014"/>
    <w:rPr>
      <w:rFonts w:ascii="Lucida Grande" w:hAnsi="Lucida Grande"/>
      <w:sz w:val="18"/>
      <w:szCs w:val="18"/>
    </w:rPr>
  </w:style>
  <w:style w:type="paragraph" w:styleId="Header">
    <w:name w:val="header"/>
    <w:basedOn w:val="Normal"/>
    <w:link w:val="HeaderChar"/>
    <w:uiPriority w:val="99"/>
    <w:semiHidden/>
    <w:unhideWhenUsed/>
    <w:rsid w:val="007766DF"/>
    <w:pPr>
      <w:tabs>
        <w:tab w:val="center" w:pos="4320"/>
        <w:tab w:val="right" w:pos="8640"/>
      </w:tabs>
      <w:spacing w:after="0"/>
    </w:pPr>
  </w:style>
  <w:style w:type="character" w:customStyle="1" w:styleId="HeaderChar">
    <w:name w:val="Header Char"/>
    <w:basedOn w:val="DefaultParagraphFont"/>
    <w:link w:val="Header"/>
    <w:uiPriority w:val="99"/>
    <w:semiHidden/>
    <w:rsid w:val="007766DF"/>
    <w:rPr>
      <w:sz w:val="24"/>
      <w:szCs w:val="24"/>
    </w:rPr>
  </w:style>
  <w:style w:type="paragraph" w:styleId="Footer">
    <w:name w:val="footer"/>
    <w:basedOn w:val="Normal"/>
    <w:link w:val="FooterChar"/>
    <w:uiPriority w:val="99"/>
    <w:unhideWhenUsed/>
    <w:rsid w:val="007766DF"/>
    <w:pPr>
      <w:tabs>
        <w:tab w:val="center" w:pos="4320"/>
        <w:tab w:val="right" w:pos="8640"/>
      </w:tabs>
      <w:spacing w:after="0"/>
    </w:pPr>
  </w:style>
  <w:style w:type="character" w:customStyle="1" w:styleId="FooterChar">
    <w:name w:val="Footer Char"/>
    <w:basedOn w:val="DefaultParagraphFont"/>
    <w:link w:val="Footer"/>
    <w:uiPriority w:val="99"/>
    <w:rsid w:val="007766DF"/>
    <w:rPr>
      <w:sz w:val="24"/>
      <w:szCs w:val="24"/>
    </w:rPr>
  </w:style>
  <w:style w:type="character" w:styleId="Hyperlink">
    <w:name w:val="Hyperlink"/>
    <w:basedOn w:val="DefaultParagraphFont"/>
    <w:uiPriority w:val="99"/>
    <w:unhideWhenUsed/>
    <w:rsid w:val="00D6693A"/>
    <w:rPr>
      <w:color w:val="0000FF" w:themeColor="hyperlink"/>
      <w:u w:val="single"/>
    </w:rPr>
  </w:style>
  <w:style w:type="paragraph" w:customStyle="1" w:styleId="NoSpacing1">
    <w:name w:val="No Spacing1"/>
    <w:uiPriority w:val="1"/>
    <w:qFormat/>
    <w:rsid w:val="00D6693A"/>
    <w:pPr>
      <w:spacing w:after="0"/>
    </w:pPr>
    <w:rPr>
      <w:rFonts w:ascii="Calibri" w:eastAsia="Calibri" w:hAnsi="Calibri" w:cs="Times New Roman"/>
      <w:sz w:val="22"/>
      <w:szCs w:val="22"/>
    </w:rPr>
  </w:style>
  <w:style w:type="paragraph" w:customStyle="1" w:styleId="ColorfulList-Accent11">
    <w:name w:val="Colorful List - Accent 11"/>
    <w:basedOn w:val="Normal"/>
    <w:uiPriority w:val="34"/>
    <w:qFormat/>
    <w:rsid w:val="00D6693A"/>
    <w:pPr>
      <w:spacing w:line="276" w:lineRule="auto"/>
      <w:ind w:left="720"/>
      <w:contextualSpacing/>
    </w:pPr>
    <w:rPr>
      <w:rFonts w:ascii="Calibri" w:eastAsia="Calibri" w:hAnsi="Calibri" w:cs="Times New Roman"/>
      <w:sz w:val="22"/>
      <w:szCs w:val="22"/>
    </w:rPr>
  </w:style>
  <w:style w:type="paragraph" w:styleId="ListParagraph">
    <w:name w:val="List Paragraph"/>
    <w:basedOn w:val="Normal"/>
    <w:uiPriority w:val="34"/>
    <w:qFormat/>
    <w:rsid w:val="00E50838"/>
    <w:pPr>
      <w:ind w:left="720"/>
      <w:contextualSpacing/>
    </w:pPr>
  </w:style>
  <w:style w:type="character" w:styleId="CommentReference">
    <w:name w:val="annotation reference"/>
    <w:basedOn w:val="DefaultParagraphFont"/>
    <w:uiPriority w:val="99"/>
    <w:semiHidden/>
    <w:unhideWhenUsed/>
    <w:rsid w:val="007D72CE"/>
    <w:rPr>
      <w:sz w:val="16"/>
      <w:szCs w:val="16"/>
    </w:rPr>
  </w:style>
  <w:style w:type="paragraph" w:styleId="CommentText">
    <w:name w:val="annotation text"/>
    <w:basedOn w:val="Normal"/>
    <w:link w:val="CommentTextChar"/>
    <w:uiPriority w:val="99"/>
    <w:semiHidden/>
    <w:unhideWhenUsed/>
    <w:rsid w:val="007D72CE"/>
    <w:rPr>
      <w:sz w:val="20"/>
      <w:szCs w:val="20"/>
    </w:rPr>
  </w:style>
  <w:style w:type="character" w:customStyle="1" w:styleId="CommentTextChar">
    <w:name w:val="Comment Text Char"/>
    <w:basedOn w:val="DefaultParagraphFont"/>
    <w:link w:val="CommentText"/>
    <w:uiPriority w:val="99"/>
    <w:semiHidden/>
    <w:rsid w:val="007D72CE"/>
  </w:style>
  <w:style w:type="paragraph" w:styleId="CommentSubject">
    <w:name w:val="annotation subject"/>
    <w:basedOn w:val="CommentText"/>
    <w:next w:val="CommentText"/>
    <w:link w:val="CommentSubjectChar"/>
    <w:uiPriority w:val="99"/>
    <w:semiHidden/>
    <w:unhideWhenUsed/>
    <w:rsid w:val="007D72CE"/>
    <w:rPr>
      <w:b/>
      <w:bCs/>
    </w:rPr>
  </w:style>
  <w:style w:type="character" w:customStyle="1" w:styleId="CommentSubjectChar">
    <w:name w:val="Comment Subject Char"/>
    <w:basedOn w:val="CommentTextChar"/>
    <w:link w:val="CommentSubject"/>
    <w:uiPriority w:val="99"/>
    <w:semiHidden/>
    <w:rsid w:val="007D7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7906">
      <w:bodyDiv w:val="1"/>
      <w:marLeft w:val="0"/>
      <w:marRight w:val="0"/>
      <w:marTop w:val="0"/>
      <w:marBottom w:val="0"/>
      <w:divBdr>
        <w:top w:val="none" w:sz="0" w:space="0" w:color="auto"/>
        <w:left w:val="none" w:sz="0" w:space="0" w:color="auto"/>
        <w:bottom w:val="none" w:sz="0" w:space="0" w:color="auto"/>
        <w:right w:val="none" w:sz="0" w:space="0" w:color="auto"/>
      </w:divBdr>
    </w:div>
    <w:div w:id="945697375">
      <w:bodyDiv w:val="1"/>
      <w:marLeft w:val="0"/>
      <w:marRight w:val="0"/>
      <w:marTop w:val="0"/>
      <w:marBottom w:val="0"/>
      <w:divBdr>
        <w:top w:val="none" w:sz="0" w:space="0" w:color="auto"/>
        <w:left w:val="none" w:sz="0" w:space="0" w:color="auto"/>
        <w:bottom w:val="none" w:sz="0" w:space="0" w:color="auto"/>
        <w:right w:val="none" w:sz="0" w:space="0" w:color="auto"/>
      </w:divBdr>
    </w:div>
    <w:div w:id="1001734214">
      <w:bodyDiv w:val="1"/>
      <w:marLeft w:val="0"/>
      <w:marRight w:val="0"/>
      <w:marTop w:val="0"/>
      <w:marBottom w:val="0"/>
      <w:divBdr>
        <w:top w:val="none" w:sz="0" w:space="0" w:color="auto"/>
        <w:left w:val="none" w:sz="0" w:space="0" w:color="auto"/>
        <w:bottom w:val="none" w:sz="0" w:space="0" w:color="auto"/>
        <w:right w:val="none" w:sz="0" w:space="0" w:color="auto"/>
      </w:divBdr>
    </w:div>
    <w:div w:id="2146581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4-h.org/resource-library/curriculum/4-h-the-power-of-the-wind/" TargetMode="External"/><Relationship Id="rId18" Type="http://schemas.openxmlformats.org/officeDocument/2006/relationships/hyperlink" Target="http://jmgkids.us/lge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4-h.org/resource-library/curriculum/4-h-reading-makes-cents/activity-gui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lick2sciencepd.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1AFC132F5EB643BEB57F94B5FA3158" ma:contentTypeVersion="0" ma:contentTypeDescription="Create a new document." ma:contentTypeScope="" ma:versionID="fdab374bc18972ae1f54e7814bd1e5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7070D-EC4D-4B47-958A-88F57B5C0D00}">
  <ds:schemaRefs>
    <ds:schemaRef ds:uri="http://schemas.microsoft.com/office/2006/metadata/properties"/>
  </ds:schemaRefs>
</ds:datastoreItem>
</file>

<file path=customXml/itemProps2.xml><?xml version="1.0" encoding="utf-8"?>
<ds:datastoreItem xmlns:ds="http://schemas.openxmlformats.org/officeDocument/2006/customXml" ds:itemID="{9C8FCE0F-FAB8-4765-B3A1-2A1EEA3D7037}">
  <ds:schemaRefs>
    <ds:schemaRef ds:uri="http://schemas.microsoft.com/sharepoint/v3/contenttype/forms"/>
  </ds:schemaRefs>
</ds:datastoreItem>
</file>

<file path=customXml/itemProps3.xml><?xml version="1.0" encoding="utf-8"?>
<ds:datastoreItem xmlns:ds="http://schemas.openxmlformats.org/officeDocument/2006/customXml" ds:itemID="{DFDD6214-3D3E-424A-9604-2D1D32EF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8E8065-464E-4A56-B746-2F6ED79E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Burbach</dc:creator>
  <cp:lastModifiedBy>Leslie Crandall</cp:lastModifiedBy>
  <cp:revision>4</cp:revision>
  <dcterms:created xsi:type="dcterms:W3CDTF">2017-05-16T15:51:00Z</dcterms:created>
  <dcterms:modified xsi:type="dcterms:W3CDTF">2017-05-23T15:11:00Z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0x010100101AFC132F5EB643BEB57F94B5FA3158</vt:lpwstr>
  </property>
</Properties>
</file>