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863F0A">
      <w:pPr>
        <w:tabs>
          <w:tab w:val="left" w:pos="450"/>
        </w:tabs>
        <w:spacing w:after="0"/>
        <w:ind w:left="540"/>
        <w:jc w:val="center"/>
        <w:rPr>
          <w:rFonts w:ascii="Calibri" w:hAnsi="Calibri" w:cs="Calibri"/>
          <w:b/>
          <w:sz w:val="28"/>
        </w:rPr>
      </w:pPr>
    </w:p>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BD2A55" w:rsidRDefault="00BD2A55" w:rsidP="00D6693A">
      <w:pPr>
        <w:spacing w:after="0"/>
        <w:jc w:val="center"/>
        <w:rPr>
          <w:rFonts w:ascii="Calibri" w:hAnsi="Calibri" w:cs="Calibri"/>
          <w:b/>
          <w:sz w:val="28"/>
        </w:rPr>
      </w:pPr>
    </w:p>
    <w:p w:rsidR="00863F0A" w:rsidRPr="00863F0A" w:rsidRDefault="00863F0A" w:rsidP="00863F0A">
      <w:pPr>
        <w:jc w:val="center"/>
        <w:rPr>
          <w:b/>
          <w:sz w:val="28"/>
          <w:szCs w:val="28"/>
        </w:rPr>
      </w:pPr>
      <w:r w:rsidRPr="00863F0A">
        <w:rPr>
          <w:b/>
          <w:sz w:val="28"/>
          <w:szCs w:val="28"/>
        </w:rPr>
        <w:t>Reading Makes Cents Kit</w:t>
      </w:r>
    </w:p>
    <w:p w:rsidR="00863F0A" w:rsidRDefault="00863F0A" w:rsidP="00863F0A">
      <w:pPr>
        <w:spacing w:after="0"/>
        <w:jc w:val="center"/>
        <w:rPr>
          <w:b/>
        </w:rPr>
      </w:pPr>
      <w:r w:rsidRPr="005B4D7A">
        <w:rPr>
          <w:b/>
        </w:rPr>
        <w:t xml:space="preserve">Books </w:t>
      </w:r>
      <w:r w:rsidR="00BB0939" w:rsidRPr="005B4D7A">
        <w:rPr>
          <w:b/>
        </w:rPr>
        <w:t>to</w:t>
      </w:r>
      <w:r w:rsidRPr="005B4D7A">
        <w:rPr>
          <w:b/>
        </w:rPr>
        <w:t xml:space="preserve"> Support Curriculum Activities</w:t>
      </w:r>
    </w:p>
    <w:p w:rsidR="00863F0A" w:rsidRDefault="00863F0A" w:rsidP="00863F0A">
      <w:pPr>
        <w:jc w:val="center"/>
        <w:rPr>
          <w:b/>
        </w:rPr>
      </w:pPr>
      <w:r>
        <w:rPr>
          <w:b/>
        </w:rPr>
        <w:t>Play Money</w:t>
      </w:r>
    </w:p>
    <w:p w:rsidR="00BD2A55" w:rsidRPr="005B4D7A" w:rsidRDefault="00BD2A55" w:rsidP="00863F0A">
      <w:pPr>
        <w:jc w:val="center"/>
        <w:rPr>
          <w:b/>
        </w:rPr>
      </w:pPr>
    </w:p>
    <w:tbl>
      <w:tblPr>
        <w:tblStyle w:val="TableGrid"/>
        <w:tblW w:w="10350" w:type="dxa"/>
        <w:tblInd w:w="-455" w:type="dxa"/>
        <w:tblLook w:val="04A0" w:firstRow="1" w:lastRow="0" w:firstColumn="1" w:lastColumn="0" w:noHBand="0" w:noVBand="1"/>
      </w:tblPr>
      <w:tblGrid>
        <w:gridCol w:w="4835"/>
        <w:gridCol w:w="2545"/>
        <w:gridCol w:w="2970"/>
      </w:tblGrid>
      <w:tr w:rsidR="00863F0A" w:rsidRPr="005B4D7A" w:rsidTr="00BD2A55">
        <w:tc>
          <w:tcPr>
            <w:tcW w:w="4835" w:type="dxa"/>
          </w:tcPr>
          <w:p w:rsidR="00863F0A" w:rsidRPr="005B4D7A" w:rsidRDefault="00863F0A" w:rsidP="00863F0A">
            <w:pPr>
              <w:jc w:val="center"/>
              <w:rPr>
                <w:b/>
              </w:rPr>
            </w:pPr>
            <w:r w:rsidRPr="005B4D7A">
              <w:rPr>
                <w:b/>
              </w:rPr>
              <w:t>Title</w:t>
            </w:r>
          </w:p>
        </w:tc>
        <w:tc>
          <w:tcPr>
            <w:tcW w:w="2545" w:type="dxa"/>
          </w:tcPr>
          <w:p w:rsidR="00863F0A" w:rsidRPr="005B4D7A" w:rsidRDefault="00863F0A" w:rsidP="00863F0A">
            <w:pPr>
              <w:jc w:val="center"/>
              <w:rPr>
                <w:b/>
              </w:rPr>
            </w:pPr>
            <w:r>
              <w:rPr>
                <w:b/>
              </w:rPr>
              <w:t>Author</w:t>
            </w:r>
          </w:p>
        </w:tc>
        <w:tc>
          <w:tcPr>
            <w:tcW w:w="2970" w:type="dxa"/>
          </w:tcPr>
          <w:p w:rsidR="00863F0A" w:rsidRPr="005B4D7A" w:rsidRDefault="00863F0A" w:rsidP="00863F0A">
            <w:pPr>
              <w:jc w:val="center"/>
              <w:rPr>
                <w:b/>
              </w:rPr>
            </w:pPr>
            <w:r w:rsidRPr="005B4D7A">
              <w:rPr>
                <w:b/>
              </w:rPr>
              <w:t>Publisher</w:t>
            </w:r>
          </w:p>
        </w:tc>
      </w:tr>
      <w:tr w:rsidR="00863F0A" w:rsidTr="00BD2A55">
        <w:tc>
          <w:tcPr>
            <w:tcW w:w="4835" w:type="dxa"/>
          </w:tcPr>
          <w:p w:rsidR="00863F0A" w:rsidRDefault="00863F0A" w:rsidP="00863F0A">
            <w:pPr>
              <w:jc w:val="center"/>
            </w:pPr>
            <w:r>
              <w:t>101 Ways To Bug Your Parents</w:t>
            </w:r>
          </w:p>
        </w:tc>
        <w:tc>
          <w:tcPr>
            <w:tcW w:w="2545" w:type="dxa"/>
          </w:tcPr>
          <w:p w:rsidR="00863F0A" w:rsidRDefault="00863F0A" w:rsidP="00863F0A">
            <w:pPr>
              <w:jc w:val="center"/>
            </w:pPr>
            <w:r>
              <w:t xml:space="preserve">Lee </w:t>
            </w:r>
            <w:proofErr w:type="spellStart"/>
            <w:r>
              <w:t>Wardlaw</w:t>
            </w:r>
            <w:proofErr w:type="spellEnd"/>
          </w:p>
        </w:tc>
        <w:tc>
          <w:tcPr>
            <w:tcW w:w="2970" w:type="dxa"/>
          </w:tcPr>
          <w:p w:rsidR="00863F0A" w:rsidRDefault="00863F0A" w:rsidP="00863F0A">
            <w:pPr>
              <w:jc w:val="center"/>
            </w:pPr>
            <w:r>
              <w:t>Scholastic, 2006</w:t>
            </w:r>
          </w:p>
        </w:tc>
      </w:tr>
      <w:tr w:rsidR="00863F0A" w:rsidTr="00BD2A55">
        <w:tc>
          <w:tcPr>
            <w:tcW w:w="4835" w:type="dxa"/>
          </w:tcPr>
          <w:p w:rsidR="00863F0A" w:rsidRDefault="00863F0A" w:rsidP="00863F0A">
            <w:pPr>
              <w:jc w:val="center"/>
            </w:pPr>
            <w:r>
              <w:t>Follow The Money</w:t>
            </w:r>
          </w:p>
        </w:tc>
        <w:tc>
          <w:tcPr>
            <w:tcW w:w="2545" w:type="dxa"/>
          </w:tcPr>
          <w:p w:rsidR="00863F0A" w:rsidRDefault="00863F0A" w:rsidP="00863F0A">
            <w:pPr>
              <w:jc w:val="center"/>
            </w:pPr>
            <w:r>
              <w:t xml:space="preserve">Loreen </w:t>
            </w:r>
            <w:proofErr w:type="spellStart"/>
            <w:r>
              <w:t>Leedy</w:t>
            </w:r>
            <w:proofErr w:type="spellEnd"/>
          </w:p>
        </w:tc>
        <w:tc>
          <w:tcPr>
            <w:tcW w:w="2970" w:type="dxa"/>
          </w:tcPr>
          <w:p w:rsidR="00863F0A" w:rsidRDefault="00863F0A" w:rsidP="00863F0A">
            <w:pPr>
              <w:jc w:val="center"/>
            </w:pPr>
            <w:r>
              <w:t>Holiday House</w:t>
            </w:r>
          </w:p>
        </w:tc>
      </w:tr>
      <w:tr w:rsidR="00863F0A" w:rsidTr="00BD2A55">
        <w:tc>
          <w:tcPr>
            <w:tcW w:w="4835" w:type="dxa"/>
          </w:tcPr>
          <w:p w:rsidR="00863F0A" w:rsidRDefault="00863F0A" w:rsidP="00863F0A">
            <w:pPr>
              <w:jc w:val="center"/>
            </w:pPr>
            <w:r>
              <w:t>Eyewitness (Revised Edition)</w:t>
            </w:r>
          </w:p>
        </w:tc>
        <w:tc>
          <w:tcPr>
            <w:tcW w:w="2545" w:type="dxa"/>
          </w:tcPr>
          <w:p w:rsidR="00863F0A" w:rsidRDefault="00863F0A" w:rsidP="00863F0A">
            <w:pPr>
              <w:jc w:val="center"/>
            </w:pPr>
            <w:r>
              <w:t>Joe Crib</w:t>
            </w:r>
          </w:p>
        </w:tc>
        <w:tc>
          <w:tcPr>
            <w:tcW w:w="2970" w:type="dxa"/>
          </w:tcPr>
          <w:p w:rsidR="00863F0A" w:rsidRDefault="00863F0A" w:rsidP="00863F0A">
            <w:pPr>
              <w:jc w:val="center"/>
            </w:pPr>
            <w:r>
              <w:t>DK Publishing</w:t>
            </w:r>
          </w:p>
        </w:tc>
      </w:tr>
      <w:tr w:rsidR="00863F0A" w:rsidTr="00BD2A55">
        <w:tc>
          <w:tcPr>
            <w:tcW w:w="4835" w:type="dxa"/>
          </w:tcPr>
          <w:p w:rsidR="00863F0A" w:rsidRDefault="00863F0A" w:rsidP="00863F0A">
            <w:pPr>
              <w:jc w:val="center"/>
            </w:pPr>
            <w:r>
              <w:t>The Babe And I</w:t>
            </w:r>
          </w:p>
        </w:tc>
        <w:tc>
          <w:tcPr>
            <w:tcW w:w="2545" w:type="dxa"/>
          </w:tcPr>
          <w:p w:rsidR="00863F0A" w:rsidRDefault="00863F0A" w:rsidP="00863F0A">
            <w:pPr>
              <w:jc w:val="center"/>
            </w:pPr>
            <w:r>
              <w:t>David A. Adler</w:t>
            </w:r>
          </w:p>
        </w:tc>
        <w:tc>
          <w:tcPr>
            <w:tcW w:w="2970" w:type="dxa"/>
          </w:tcPr>
          <w:p w:rsidR="00863F0A" w:rsidRDefault="00863F0A" w:rsidP="00863F0A">
            <w:pPr>
              <w:jc w:val="center"/>
            </w:pPr>
            <w:r>
              <w:t>Harcourt Brace, 1999</w:t>
            </w:r>
          </w:p>
        </w:tc>
      </w:tr>
      <w:tr w:rsidR="00863F0A" w:rsidTr="00BD2A55">
        <w:tc>
          <w:tcPr>
            <w:tcW w:w="4835" w:type="dxa"/>
          </w:tcPr>
          <w:p w:rsidR="00863F0A" w:rsidRDefault="00863F0A" w:rsidP="00863F0A">
            <w:pPr>
              <w:jc w:val="center"/>
            </w:pPr>
            <w:r>
              <w:t>Lunch Money</w:t>
            </w:r>
          </w:p>
        </w:tc>
        <w:tc>
          <w:tcPr>
            <w:tcW w:w="2545" w:type="dxa"/>
          </w:tcPr>
          <w:p w:rsidR="00863F0A" w:rsidRDefault="00863F0A" w:rsidP="00863F0A">
            <w:pPr>
              <w:jc w:val="center"/>
            </w:pPr>
            <w:r>
              <w:t>Andrew Clements</w:t>
            </w:r>
          </w:p>
        </w:tc>
        <w:tc>
          <w:tcPr>
            <w:tcW w:w="2970" w:type="dxa"/>
          </w:tcPr>
          <w:p w:rsidR="00863F0A" w:rsidRDefault="00863F0A" w:rsidP="00863F0A">
            <w:pPr>
              <w:jc w:val="center"/>
            </w:pPr>
            <w:r>
              <w:t>Scholastic, 2006</w:t>
            </w:r>
          </w:p>
        </w:tc>
      </w:tr>
      <w:tr w:rsidR="00863F0A" w:rsidTr="00BD2A55">
        <w:tc>
          <w:tcPr>
            <w:tcW w:w="4835" w:type="dxa"/>
          </w:tcPr>
          <w:p w:rsidR="00863F0A" w:rsidRDefault="00863F0A" w:rsidP="00863F0A">
            <w:pPr>
              <w:jc w:val="center"/>
            </w:pPr>
            <w:r>
              <w:t>Double Fudge</w:t>
            </w:r>
          </w:p>
        </w:tc>
        <w:tc>
          <w:tcPr>
            <w:tcW w:w="2545" w:type="dxa"/>
          </w:tcPr>
          <w:p w:rsidR="00863F0A" w:rsidRDefault="00863F0A" w:rsidP="00863F0A">
            <w:pPr>
              <w:jc w:val="center"/>
            </w:pPr>
            <w:r>
              <w:t>Judy Blume</w:t>
            </w:r>
          </w:p>
        </w:tc>
        <w:tc>
          <w:tcPr>
            <w:tcW w:w="2970" w:type="dxa"/>
          </w:tcPr>
          <w:p w:rsidR="00863F0A" w:rsidRDefault="00863F0A" w:rsidP="00863F0A">
            <w:pPr>
              <w:jc w:val="center"/>
            </w:pPr>
            <w:r>
              <w:t>Dutton, 2005</w:t>
            </w:r>
          </w:p>
        </w:tc>
      </w:tr>
      <w:tr w:rsidR="00863F0A" w:rsidTr="00BD2A55">
        <w:tc>
          <w:tcPr>
            <w:tcW w:w="4835" w:type="dxa"/>
          </w:tcPr>
          <w:p w:rsidR="00863F0A" w:rsidRDefault="00863F0A" w:rsidP="00863F0A">
            <w:pPr>
              <w:jc w:val="center"/>
            </w:pPr>
            <w:r>
              <w:t xml:space="preserve">From The Mixed-Up Files Of Mrs. Basil </w:t>
            </w:r>
            <w:proofErr w:type="spellStart"/>
            <w:r>
              <w:t>Frankweiler</w:t>
            </w:r>
            <w:proofErr w:type="spellEnd"/>
          </w:p>
        </w:tc>
        <w:tc>
          <w:tcPr>
            <w:tcW w:w="2545" w:type="dxa"/>
          </w:tcPr>
          <w:p w:rsidR="00863F0A" w:rsidRDefault="00863F0A" w:rsidP="00863F0A">
            <w:pPr>
              <w:jc w:val="center"/>
            </w:pPr>
            <w:proofErr w:type="spellStart"/>
            <w:r>
              <w:t>Konisburg</w:t>
            </w:r>
            <w:proofErr w:type="spellEnd"/>
          </w:p>
        </w:tc>
        <w:tc>
          <w:tcPr>
            <w:tcW w:w="2970" w:type="dxa"/>
          </w:tcPr>
          <w:p w:rsidR="00863F0A" w:rsidRDefault="00863F0A" w:rsidP="00863F0A">
            <w:pPr>
              <w:jc w:val="center"/>
            </w:pPr>
            <w:proofErr w:type="spellStart"/>
            <w:r>
              <w:t>Aladin</w:t>
            </w:r>
            <w:proofErr w:type="spellEnd"/>
            <w:r>
              <w:t>, 1998</w:t>
            </w:r>
          </w:p>
        </w:tc>
      </w:tr>
      <w:tr w:rsidR="00863F0A" w:rsidTr="00BD2A55">
        <w:tc>
          <w:tcPr>
            <w:tcW w:w="4835" w:type="dxa"/>
          </w:tcPr>
          <w:p w:rsidR="00863F0A" w:rsidRDefault="00B95994" w:rsidP="00863F0A">
            <w:pPr>
              <w:jc w:val="center"/>
            </w:pPr>
            <w:r>
              <w:t>The Hard Times Jar</w:t>
            </w:r>
          </w:p>
        </w:tc>
        <w:tc>
          <w:tcPr>
            <w:tcW w:w="2545" w:type="dxa"/>
          </w:tcPr>
          <w:p w:rsidR="00863F0A" w:rsidRDefault="00863F0A" w:rsidP="00863F0A">
            <w:pPr>
              <w:jc w:val="center"/>
            </w:pPr>
            <w:r>
              <w:t xml:space="preserve">Ethel Smoothers, </w:t>
            </w:r>
            <w:proofErr w:type="spellStart"/>
            <w:r>
              <w:t>Farar</w:t>
            </w:r>
            <w:proofErr w:type="spellEnd"/>
            <w:r>
              <w:t>, Straus, And Giroux</w:t>
            </w:r>
          </w:p>
        </w:tc>
        <w:tc>
          <w:tcPr>
            <w:tcW w:w="2970" w:type="dxa"/>
          </w:tcPr>
          <w:p w:rsidR="00863F0A" w:rsidRPr="00AE24AD" w:rsidRDefault="00863F0A" w:rsidP="00863F0A">
            <w:pPr>
              <w:jc w:val="center"/>
              <w:rPr>
                <w:b/>
              </w:rPr>
            </w:pPr>
            <w:r w:rsidRPr="00AE24AD">
              <w:rPr>
                <w:b/>
              </w:rPr>
              <w:t>???</w:t>
            </w:r>
          </w:p>
        </w:tc>
      </w:tr>
      <w:tr w:rsidR="00863F0A" w:rsidTr="00BD2A55">
        <w:tc>
          <w:tcPr>
            <w:tcW w:w="4835" w:type="dxa"/>
          </w:tcPr>
          <w:p w:rsidR="00863F0A" w:rsidRDefault="00863F0A" w:rsidP="00863F0A">
            <w:pPr>
              <w:jc w:val="center"/>
            </w:pPr>
            <w:r>
              <w:t>You Can’t Buy A Dinosaur With A Dime</w:t>
            </w:r>
          </w:p>
        </w:tc>
        <w:tc>
          <w:tcPr>
            <w:tcW w:w="2545" w:type="dxa"/>
          </w:tcPr>
          <w:p w:rsidR="00863F0A" w:rsidRDefault="00863F0A" w:rsidP="00863F0A">
            <w:pPr>
              <w:jc w:val="center"/>
            </w:pPr>
            <w:proofErr w:type="spellStart"/>
            <w:r>
              <w:t>Hariet</w:t>
            </w:r>
            <w:proofErr w:type="spellEnd"/>
            <w:r>
              <w:t xml:space="preserve"> </w:t>
            </w:r>
            <w:proofErr w:type="spellStart"/>
            <w:r>
              <w:t>Zierfert</w:t>
            </w:r>
            <w:proofErr w:type="spellEnd"/>
            <w:r>
              <w:t>,</w:t>
            </w:r>
          </w:p>
        </w:tc>
        <w:tc>
          <w:tcPr>
            <w:tcW w:w="2970" w:type="dxa"/>
          </w:tcPr>
          <w:p w:rsidR="00863F0A" w:rsidRDefault="00863F0A" w:rsidP="00863F0A">
            <w:pPr>
              <w:jc w:val="center"/>
            </w:pPr>
            <w:r>
              <w:t>Blue Apple, 2003</w:t>
            </w:r>
          </w:p>
        </w:tc>
      </w:tr>
      <w:tr w:rsidR="00863F0A" w:rsidTr="00BD2A55">
        <w:tc>
          <w:tcPr>
            <w:tcW w:w="4835" w:type="dxa"/>
          </w:tcPr>
          <w:p w:rsidR="00863F0A" w:rsidRDefault="00863F0A" w:rsidP="00863F0A">
            <w:pPr>
              <w:jc w:val="center"/>
            </w:pPr>
            <w:r>
              <w:t>A Bargain For Frances</w:t>
            </w:r>
          </w:p>
        </w:tc>
        <w:tc>
          <w:tcPr>
            <w:tcW w:w="2545" w:type="dxa"/>
          </w:tcPr>
          <w:p w:rsidR="00863F0A" w:rsidRDefault="00863F0A" w:rsidP="00863F0A">
            <w:pPr>
              <w:jc w:val="center"/>
            </w:pPr>
            <w:r>
              <w:t>Russel Hoban</w:t>
            </w:r>
          </w:p>
        </w:tc>
        <w:tc>
          <w:tcPr>
            <w:tcW w:w="2970" w:type="dxa"/>
          </w:tcPr>
          <w:p w:rsidR="00863F0A" w:rsidRDefault="00863F0A" w:rsidP="00863F0A">
            <w:pPr>
              <w:jc w:val="center"/>
            </w:pPr>
            <w:r>
              <w:t>Barnes And Noble Publishing, 2005</w:t>
            </w:r>
          </w:p>
        </w:tc>
      </w:tr>
      <w:tr w:rsidR="00863F0A" w:rsidTr="00BD2A55">
        <w:tc>
          <w:tcPr>
            <w:tcW w:w="4835" w:type="dxa"/>
          </w:tcPr>
          <w:p w:rsidR="00863F0A" w:rsidRDefault="00863F0A" w:rsidP="00863F0A">
            <w:pPr>
              <w:jc w:val="center"/>
            </w:pPr>
            <w:r>
              <w:t>A Chair For My Mother</w:t>
            </w:r>
          </w:p>
        </w:tc>
        <w:tc>
          <w:tcPr>
            <w:tcW w:w="2545" w:type="dxa"/>
          </w:tcPr>
          <w:p w:rsidR="00863F0A" w:rsidRDefault="00863F0A" w:rsidP="00863F0A">
            <w:pPr>
              <w:jc w:val="center"/>
            </w:pPr>
            <w:r>
              <w:t>Vera Williams</w:t>
            </w:r>
          </w:p>
        </w:tc>
        <w:tc>
          <w:tcPr>
            <w:tcW w:w="2970" w:type="dxa"/>
          </w:tcPr>
          <w:p w:rsidR="00863F0A" w:rsidRDefault="00863F0A" w:rsidP="00863F0A">
            <w:pPr>
              <w:jc w:val="center"/>
            </w:pPr>
            <w:r>
              <w:t>Harper Trophy, 1984</w:t>
            </w:r>
          </w:p>
        </w:tc>
      </w:tr>
      <w:tr w:rsidR="00863F0A" w:rsidTr="00BD2A55">
        <w:tc>
          <w:tcPr>
            <w:tcW w:w="4835" w:type="dxa"/>
          </w:tcPr>
          <w:p w:rsidR="00863F0A" w:rsidRDefault="00863F0A" w:rsidP="00863F0A">
            <w:pPr>
              <w:jc w:val="center"/>
            </w:pPr>
            <w:r>
              <w:t>Alexander Who Used To Be Rich Last Sunday</w:t>
            </w:r>
          </w:p>
        </w:tc>
        <w:tc>
          <w:tcPr>
            <w:tcW w:w="2545" w:type="dxa"/>
          </w:tcPr>
          <w:p w:rsidR="00863F0A" w:rsidRDefault="00863F0A" w:rsidP="00863F0A">
            <w:pPr>
              <w:jc w:val="center"/>
            </w:pPr>
            <w:r>
              <w:t xml:space="preserve">Judith </w:t>
            </w:r>
            <w:proofErr w:type="spellStart"/>
            <w:r>
              <w:t>Viorst</w:t>
            </w:r>
            <w:proofErr w:type="spellEnd"/>
          </w:p>
        </w:tc>
        <w:tc>
          <w:tcPr>
            <w:tcW w:w="2970" w:type="dxa"/>
          </w:tcPr>
          <w:p w:rsidR="00863F0A" w:rsidRDefault="00863F0A" w:rsidP="00863F0A">
            <w:pPr>
              <w:jc w:val="center"/>
            </w:pPr>
            <w:r>
              <w:t>Aladdin, 1987</w:t>
            </w:r>
          </w:p>
        </w:tc>
      </w:tr>
      <w:tr w:rsidR="00863F0A" w:rsidTr="00BD2A55">
        <w:tc>
          <w:tcPr>
            <w:tcW w:w="4835" w:type="dxa"/>
          </w:tcPr>
          <w:p w:rsidR="00863F0A" w:rsidRPr="00CD705C" w:rsidRDefault="00863F0A" w:rsidP="00863F0A">
            <w:pPr>
              <w:jc w:val="center"/>
              <w:rPr>
                <w:strike/>
              </w:rPr>
            </w:pPr>
            <w:bookmarkStart w:id="0" w:name="_GoBack" w:colFirst="0" w:colLast="2"/>
            <w:r w:rsidRPr="00CD705C">
              <w:rPr>
                <w:strike/>
              </w:rPr>
              <w:t>Arthur’s TV  Trouble</w:t>
            </w:r>
          </w:p>
        </w:tc>
        <w:tc>
          <w:tcPr>
            <w:tcW w:w="2545" w:type="dxa"/>
          </w:tcPr>
          <w:p w:rsidR="00863F0A" w:rsidRPr="00CD705C" w:rsidRDefault="00863F0A" w:rsidP="00863F0A">
            <w:pPr>
              <w:jc w:val="center"/>
              <w:rPr>
                <w:strike/>
              </w:rPr>
            </w:pPr>
            <w:r w:rsidRPr="00CD705C">
              <w:rPr>
                <w:strike/>
              </w:rPr>
              <w:t>Mac Brown</w:t>
            </w:r>
          </w:p>
        </w:tc>
        <w:tc>
          <w:tcPr>
            <w:tcW w:w="2970" w:type="dxa"/>
          </w:tcPr>
          <w:p w:rsidR="00863F0A" w:rsidRPr="00CD705C" w:rsidRDefault="00863F0A" w:rsidP="00863F0A">
            <w:pPr>
              <w:jc w:val="center"/>
              <w:rPr>
                <w:strike/>
              </w:rPr>
            </w:pPr>
            <w:r w:rsidRPr="00CD705C">
              <w:rPr>
                <w:strike/>
              </w:rPr>
              <w:t>Little Brown, 1995</w:t>
            </w:r>
          </w:p>
        </w:tc>
      </w:tr>
      <w:bookmarkEnd w:id="0"/>
      <w:tr w:rsidR="00863F0A" w:rsidTr="00BD2A55">
        <w:tc>
          <w:tcPr>
            <w:tcW w:w="4835" w:type="dxa"/>
          </w:tcPr>
          <w:p w:rsidR="00863F0A" w:rsidRDefault="00863F0A" w:rsidP="00863F0A">
            <w:pPr>
              <w:jc w:val="center"/>
            </w:pPr>
            <w:r>
              <w:t>Chicken Sunday</w:t>
            </w:r>
          </w:p>
        </w:tc>
        <w:tc>
          <w:tcPr>
            <w:tcW w:w="2545" w:type="dxa"/>
          </w:tcPr>
          <w:p w:rsidR="00863F0A" w:rsidRDefault="00863F0A" w:rsidP="00863F0A">
            <w:pPr>
              <w:jc w:val="center"/>
            </w:pPr>
            <w:r>
              <w:t xml:space="preserve">Patricia </w:t>
            </w:r>
            <w:proofErr w:type="spellStart"/>
            <w:r>
              <w:t>Polacco</w:t>
            </w:r>
            <w:proofErr w:type="spellEnd"/>
          </w:p>
        </w:tc>
        <w:tc>
          <w:tcPr>
            <w:tcW w:w="2970" w:type="dxa"/>
          </w:tcPr>
          <w:p w:rsidR="00863F0A" w:rsidRDefault="00863F0A" w:rsidP="00863F0A">
            <w:pPr>
              <w:jc w:val="center"/>
            </w:pPr>
            <w:r>
              <w:t>Putnam Juvenile, 1998</w:t>
            </w:r>
          </w:p>
        </w:tc>
      </w:tr>
      <w:tr w:rsidR="00863F0A" w:rsidTr="00BD2A55">
        <w:tc>
          <w:tcPr>
            <w:tcW w:w="4835" w:type="dxa"/>
          </w:tcPr>
          <w:p w:rsidR="00863F0A" w:rsidRDefault="00863F0A" w:rsidP="00863F0A">
            <w:pPr>
              <w:jc w:val="center"/>
            </w:pPr>
            <w:r>
              <w:t>My Rows And Piles Of Coin</w:t>
            </w:r>
          </w:p>
        </w:tc>
        <w:tc>
          <w:tcPr>
            <w:tcW w:w="2545" w:type="dxa"/>
          </w:tcPr>
          <w:p w:rsidR="00863F0A" w:rsidRDefault="00863F0A" w:rsidP="00863F0A">
            <w:pPr>
              <w:jc w:val="center"/>
            </w:pPr>
            <w:proofErr w:type="spellStart"/>
            <w:r>
              <w:t>Tolawa</w:t>
            </w:r>
            <w:proofErr w:type="spellEnd"/>
          </w:p>
        </w:tc>
        <w:tc>
          <w:tcPr>
            <w:tcW w:w="2970" w:type="dxa"/>
          </w:tcPr>
          <w:p w:rsidR="00863F0A" w:rsidRDefault="00863F0A" w:rsidP="00863F0A">
            <w:pPr>
              <w:jc w:val="center"/>
            </w:pPr>
            <w:r>
              <w:t xml:space="preserve">M. </w:t>
            </w:r>
            <w:proofErr w:type="spellStart"/>
            <w:r>
              <w:t>Mollel</w:t>
            </w:r>
            <w:proofErr w:type="spellEnd"/>
            <w:r>
              <w:t>, Clarion, 1999</w:t>
            </w:r>
          </w:p>
        </w:tc>
      </w:tr>
      <w:tr w:rsidR="00863F0A" w:rsidTr="00BD2A55">
        <w:tc>
          <w:tcPr>
            <w:tcW w:w="4835" w:type="dxa"/>
          </w:tcPr>
          <w:p w:rsidR="00863F0A" w:rsidRPr="00D27069" w:rsidRDefault="00BD2A55" w:rsidP="00863F0A">
            <w:pPr>
              <w:jc w:val="center"/>
            </w:pPr>
            <w:r>
              <w:t>Tight T</w:t>
            </w:r>
            <w:r w:rsidR="00863F0A" w:rsidRPr="00D27069">
              <w:t>imes</w:t>
            </w:r>
          </w:p>
        </w:tc>
        <w:tc>
          <w:tcPr>
            <w:tcW w:w="2545" w:type="dxa"/>
          </w:tcPr>
          <w:p w:rsidR="00863F0A" w:rsidRDefault="00863F0A" w:rsidP="00863F0A">
            <w:pPr>
              <w:jc w:val="center"/>
            </w:pPr>
            <w:r>
              <w:t>Barbara Shook Hazen,</w:t>
            </w:r>
          </w:p>
        </w:tc>
        <w:tc>
          <w:tcPr>
            <w:tcW w:w="2970" w:type="dxa"/>
          </w:tcPr>
          <w:p w:rsidR="00863F0A" w:rsidRDefault="00863F0A" w:rsidP="00863F0A">
            <w:pPr>
              <w:jc w:val="center"/>
            </w:pPr>
            <w:r>
              <w:t>Viking Press, 1979</w:t>
            </w:r>
          </w:p>
        </w:tc>
      </w:tr>
      <w:tr w:rsidR="00863F0A" w:rsidTr="00BD2A55">
        <w:tc>
          <w:tcPr>
            <w:tcW w:w="4835" w:type="dxa"/>
          </w:tcPr>
          <w:p w:rsidR="00863F0A" w:rsidRDefault="00863F0A" w:rsidP="00863F0A">
            <w:pPr>
              <w:jc w:val="center"/>
            </w:pPr>
            <w:r>
              <w:t>Owen Foote, Money Man</w:t>
            </w:r>
          </w:p>
        </w:tc>
        <w:tc>
          <w:tcPr>
            <w:tcW w:w="2545" w:type="dxa"/>
          </w:tcPr>
          <w:p w:rsidR="00863F0A" w:rsidRDefault="00863F0A" w:rsidP="00863F0A">
            <w:pPr>
              <w:jc w:val="center"/>
            </w:pPr>
            <w:r>
              <w:t>Stephanie Green</w:t>
            </w:r>
          </w:p>
        </w:tc>
        <w:tc>
          <w:tcPr>
            <w:tcW w:w="2970" w:type="dxa"/>
          </w:tcPr>
          <w:p w:rsidR="00863F0A" w:rsidRDefault="00863F0A" w:rsidP="00863F0A">
            <w:pPr>
              <w:jc w:val="center"/>
            </w:pPr>
            <w:r>
              <w:t>Clarion Books, 2000</w:t>
            </w:r>
          </w:p>
        </w:tc>
      </w:tr>
      <w:tr w:rsidR="00863F0A" w:rsidTr="00BD2A55">
        <w:tc>
          <w:tcPr>
            <w:tcW w:w="4835" w:type="dxa"/>
          </w:tcPr>
          <w:p w:rsidR="00863F0A" w:rsidRDefault="00863F0A" w:rsidP="00863F0A">
            <w:pPr>
              <w:jc w:val="center"/>
            </w:pPr>
            <w:r>
              <w:t>The View From Saturday</w:t>
            </w:r>
          </w:p>
        </w:tc>
        <w:tc>
          <w:tcPr>
            <w:tcW w:w="2545" w:type="dxa"/>
          </w:tcPr>
          <w:p w:rsidR="00863F0A" w:rsidRDefault="00863F0A" w:rsidP="00863F0A">
            <w:pPr>
              <w:jc w:val="center"/>
            </w:pPr>
            <w:r>
              <w:t>Konigsburg E. L.</w:t>
            </w:r>
          </w:p>
        </w:tc>
        <w:tc>
          <w:tcPr>
            <w:tcW w:w="2970" w:type="dxa"/>
          </w:tcPr>
          <w:p w:rsidR="00863F0A" w:rsidRDefault="00863F0A" w:rsidP="00863F0A">
            <w:pPr>
              <w:jc w:val="center"/>
            </w:pPr>
            <w:r>
              <w:t>Antheneum, 1996</w:t>
            </w:r>
          </w:p>
        </w:tc>
      </w:tr>
      <w:tr w:rsidR="00863F0A" w:rsidTr="00BD2A55">
        <w:tc>
          <w:tcPr>
            <w:tcW w:w="4835" w:type="dxa"/>
          </w:tcPr>
          <w:p w:rsidR="00863F0A" w:rsidRDefault="00863F0A" w:rsidP="00863F0A">
            <w:pPr>
              <w:jc w:val="center"/>
            </w:pPr>
            <w:r>
              <w:t>Pigs Will Be Pigs</w:t>
            </w:r>
          </w:p>
        </w:tc>
        <w:tc>
          <w:tcPr>
            <w:tcW w:w="2545" w:type="dxa"/>
          </w:tcPr>
          <w:p w:rsidR="00863F0A" w:rsidRDefault="00863F0A" w:rsidP="00863F0A">
            <w:pPr>
              <w:jc w:val="center"/>
            </w:pPr>
            <w:r>
              <w:t>Amy Axelrod</w:t>
            </w:r>
          </w:p>
        </w:tc>
        <w:tc>
          <w:tcPr>
            <w:tcW w:w="2970" w:type="dxa"/>
          </w:tcPr>
          <w:p w:rsidR="00863F0A" w:rsidRDefault="00863F0A" w:rsidP="00863F0A">
            <w:pPr>
              <w:jc w:val="center"/>
            </w:pPr>
            <w:r>
              <w:t>Alladin,1997</w:t>
            </w:r>
          </w:p>
        </w:tc>
      </w:tr>
      <w:tr w:rsidR="00863F0A" w:rsidTr="00BD2A55">
        <w:tc>
          <w:tcPr>
            <w:tcW w:w="4835" w:type="dxa"/>
          </w:tcPr>
          <w:p w:rsidR="00863F0A" w:rsidRDefault="00863F0A" w:rsidP="00863F0A">
            <w:pPr>
              <w:jc w:val="center"/>
            </w:pPr>
            <w:r>
              <w:t>A Band Of Angels: A Story  Inspired By The Jubilee Singers</w:t>
            </w:r>
          </w:p>
        </w:tc>
        <w:tc>
          <w:tcPr>
            <w:tcW w:w="2545" w:type="dxa"/>
          </w:tcPr>
          <w:p w:rsidR="00863F0A" w:rsidRDefault="00863F0A" w:rsidP="00863F0A">
            <w:pPr>
              <w:jc w:val="center"/>
            </w:pPr>
            <w:r>
              <w:t>Deborah Hopkinson</w:t>
            </w:r>
          </w:p>
        </w:tc>
        <w:tc>
          <w:tcPr>
            <w:tcW w:w="2970" w:type="dxa"/>
          </w:tcPr>
          <w:p w:rsidR="00863F0A" w:rsidRDefault="00863F0A" w:rsidP="00863F0A">
            <w:pPr>
              <w:jc w:val="center"/>
            </w:pPr>
            <w:r w:rsidRPr="00BD2A55">
              <w:t>Antheneun</w:t>
            </w:r>
            <w:r w:rsidRPr="007B7417">
              <w:rPr>
                <w:b/>
              </w:rPr>
              <w:t xml:space="preserve"> </w:t>
            </w:r>
            <w:r>
              <w:t>Books For Young Readers, 1999</w:t>
            </w:r>
          </w:p>
        </w:tc>
      </w:tr>
      <w:tr w:rsidR="00863F0A" w:rsidTr="00BD2A55">
        <w:tc>
          <w:tcPr>
            <w:tcW w:w="4835" w:type="dxa"/>
          </w:tcPr>
          <w:p w:rsidR="00863F0A" w:rsidRPr="00340228" w:rsidRDefault="00863F0A" w:rsidP="00863F0A">
            <w:pPr>
              <w:jc w:val="center"/>
              <w:rPr>
                <w:strike/>
              </w:rPr>
            </w:pPr>
            <w:r w:rsidRPr="00340228">
              <w:rPr>
                <w:strike/>
              </w:rPr>
              <w:t>Be Patient Abdul</w:t>
            </w:r>
          </w:p>
        </w:tc>
        <w:tc>
          <w:tcPr>
            <w:tcW w:w="2545" w:type="dxa"/>
          </w:tcPr>
          <w:p w:rsidR="00863F0A" w:rsidRPr="00340228" w:rsidRDefault="00863F0A" w:rsidP="00863F0A">
            <w:pPr>
              <w:jc w:val="center"/>
              <w:rPr>
                <w:strike/>
              </w:rPr>
            </w:pPr>
            <w:r w:rsidRPr="00340228">
              <w:rPr>
                <w:strike/>
              </w:rPr>
              <w:t>Dolores Sandoval</w:t>
            </w:r>
          </w:p>
        </w:tc>
        <w:tc>
          <w:tcPr>
            <w:tcW w:w="2970" w:type="dxa"/>
          </w:tcPr>
          <w:p w:rsidR="00863F0A" w:rsidRPr="00340228" w:rsidRDefault="00863F0A" w:rsidP="00863F0A">
            <w:pPr>
              <w:jc w:val="center"/>
              <w:rPr>
                <w:strike/>
              </w:rPr>
            </w:pPr>
            <w:r w:rsidRPr="00340228">
              <w:rPr>
                <w:strike/>
              </w:rPr>
              <w:t>McElderry Books, 1996</w:t>
            </w:r>
          </w:p>
        </w:tc>
      </w:tr>
      <w:tr w:rsidR="00863F0A" w:rsidTr="00BD2A55">
        <w:tc>
          <w:tcPr>
            <w:tcW w:w="4835" w:type="dxa"/>
          </w:tcPr>
          <w:p w:rsidR="00863F0A" w:rsidRDefault="00863F0A" w:rsidP="00863F0A">
            <w:pPr>
              <w:jc w:val="center"/>
            </w:pPr>
            <w:r>
              <w:t>The Toothpaste Millionaire</w:t>
            </w:r>
          </w:p>
        </w:tc>
        <w:tc>
          <w:tcPr>
            <w:tcW w:w="2545" w:type="dxa"/>
          </w:tcPr>
          <w:p w:rsidR="00863F0A" w:rsidRDefault="00863F0A" w:rsidP="00863F0A">
            <w:pPr>
              <w:jc w:val="center"/>
            </w:pPr>
            <w:r>
              <w:t>Jean Merrill</w:t>
            </w:r>
          </w:p>
        </w:tc>
        <w:tc>
          <w:tcPr>
            <w:tcW w:w="2970" w:type="dxa"/>
          </w:tcPr>
          <w:p w:rsidR="00863F0A" w:rsidRDefault="00863F0A" w:rsidP="00863F0A">
            <w:pPr>
              <w:jc w:val="center"/>
            </w:pPr>
            <w:r>
              <w:t>Houghton Miffling, 2006</w:t>
            </w:r>
          </w:p>
        </w:tc>
      </w:tr>
      <w:tr w:rsidR="00863F0A" w:rsidTr="00BD2A55">
        <w:tc>
          <w:tcPr>
            <w:tcW w:w="4835" w:type="dxa"/>
          </w:tcPr>
          <w:p w:rsidR="00863F0A" w:rsidRDefault="00863F0A" w:rsidP="00863F0A">
            <w:pPr>
              <w:jc w:val="center"/>
            </w:pPr>
            <w:r>
              <w:t>If You Made A Million</w:t>
            </w:r>
          </w:p>
        </w:tc>
        <w:tc>
          <w:tcPr>
            <w:tcW w:w="2545" w:type="dxa"/>
          </w:tcPr>
          <w:p w:rsidR="00863F0A" w:rsidRDefault="00863F0A" w:rsidP="00863F0A">
            <w:pPr>
              <w:jc w:val="center"/>
            </w:pPr>
            <w:r>
              <w:t>Davis M. Schwartz,</w:t>
            </w:r>
          </w:p>
        </w:tc>
        <w:tc>
          <w:tcPr>
            <w:tcW w:w="2970" w:type="dxa"/>
          </w:tcPr>
          <w:p w:rsidR="00863F0A" w:rsidRPr="00BB0939" w:rsidRDefault="00863F0A" w:rsidP="00863F0A">
            <w:pPr>
              <w:jc w:val="center"/>
            </w:pPr>
            <w:r w:rsidRPr="00BB0939">
              <w:t>Lothrop, Lee &amp; Shepherd Books</w:t>
            </w:r>
          </w:p>
        </w:tc>
      </w:tr>
      <w:tr w:rsidR="00863F0A" w:rsidTr="00BD2A55">
        <w:tc>
          <w:tcPr>
            <w:tcW w:w="4835" w:type="dxa"/>
          </w:tcPr>
          <w:p w:rsidR="00863F0A" w:rsidRDefault="00863F0A" w:rsidP="00863F0A">
            <w:pPr>
              <w:jc w:val="center"/>
            </w:pPr>
            <w:r>
              <w:t>The Monster Money Book</w:t>
            </w:r>
          </w:p>
        </w:tc>
        <w:tc>
          <w:tcPr>
            <w:tcW w:w="2545" w:type="dxa"/>
          </w:tcPr>
          <w:p w:rsidR="00863F0A" w:rsidRDefault="00863F0A" w:rsidP="00863F0A">
            <w:pPr>
              <w:jc w:val="center"/>
            </w:pPr>
            <w:r>
              <w:t>Loreen Leedy</w:t>
            </w:r>
          </w:p>
        </w:tc>
        <w:tc>
          <w:tcPr>
            <w:tcW w:w="2970" w:type="dxa"/>
          </w:tcPr>
          <w:p w:rsidR="00863F0A" w:rsidRDefault="00863F0A" w:rsidP="00863F0A">
            <w:pPr>
              <w:jc w:val="center"/>
            </w:pPr>
            <w:r>
              <w:t>Holiday House, 1992</w:t>
            </w:r>
          </w:p>
        </w:tc>
      </w:tr>
      <w:tr w:rsidR="00863F0A" w:rsidTr="00BD2A55">
        <w:tc>
          <w:tcPr>
            <w:tcW w:w="4835" w:type="dxa"/>
          </w:tcPr>
          <w:p w:rsidR="00863F0A" w:rsidRDefault="00863F0A" w:rsidP="00863F0A">
            <w:pPr>
              <w:jc w:val="center"/>
            </w:pPr>
            <w:r>
              <w:t>Ox-Cart Man</w:t>
            </w:r>
          </w:p>
        </w:tc>
        <w:tc>
          <w:tcPr>
            <w:tcW w:w="2545" w:type="dxa"/>
          </w:tcPr>
          <w:p w:rsidR="00863F0A" w:rsidRDefault="00863F0A" w:rsidP="00863F0A">
            <w:pPr>
              <w:jc w:val="center"/>
            </w:pPr>
            <w:r>
              <w:t>Donald Hall</w:t>
            </w:r>
          </w:p>
        </w:tc>
        <w:tc>
          <w:tcPr>
            <w:tcW w:w="2970" w:type="dxa"/>
          </w:tcPr>
          <w:p w:rsidR="00863F0A" w:rsidRDefault="00863F0A" w:rsidP="00863F0A">
            <w:pPr>
              <w:jc w:val="center"/>
            </w:pPr>
          </w:p>
        </w:tc>
      </w:tr>
      <w:tr w:rsidR="00863F0A" w:rsidTr="00BD2A55">
        <w:tc>
          <w:tcPr>
            <w:tcW w:w="4835" w:type="dxa"/>
          </w:tcPr>
          <w:p w:rsidR="00863F0A" w:rsidRDefault="00863F0A" w:rsidP="00863F0A">
            <w:pPr>
              <w:jc w:val="center"/>
            </w:pPr>
            <w:r>
              <w:lastRenderedPageBreak/>
              <w:t>Holes</w:t>
            </w:r>
          </w:p>
        </w:tc>
        <w:tc>
          <w:tcPr>
            <w:tcW w:w="2545" w:type="dxa"/>
          </w:tcPr>
          <w:p w:rsidR="00863F0A" w:rsidRDefault="00863F0A" w:rsidP="00863F0A">
            <w:pPr>
              <w:jc w:val="center"/>
            </w:pPr>
            <w:r>
              <w:t>Louis Sachar</w:t>
            </w:r>
          </w:p>
        </w:tc>
        <w:tc>
          <w:tcPr>
            <w:tcW w:w="2970" w:type="dxa"/>
          </w:tcPr>
          <w:p w:rsidR="00863F0A" w:rsidRDefault="00863F0A" w:rsidP="00863F0A">
            <w:pPr>
              <w:jc w:val="center"/>
            </w:pPr>
          </w:p>
        </w:tc>
      </w:tr>
      <w:tr w:rsidR="00863F0A" w:rsidTr="00BD2A55">
        <w:tc>
          <w:tcPr>
            <w:tcW w:w="4835" w:type="dxa"/>
          </w:tcPr>
          <w:p w:rsidR="00863F0A" w:rsidRDefault="00863F0A" w:rsidP="00863F0A">
            <w:pPr>
              <w:jc w:val="center"/>
            </w:pPr>
            <w:r>
              <w:t>Room One</w:t>
            </w:r>
          </w:p>
        </w:tc>
        <w:tc>
          <w:tcPr>
            <w:tcW w:w="2545" w:type="dxa"/>
          </w:tcPr>
          <w:p w:rsidR="00863F0A" w:rsidRDefault="00863F0A" w:rsidP="00863F0A">
            <w:pPr>
              <w:jc w:val="center"/>
            </w:pPr>
            <w:r>
              <w:t>Andrew Clements</w:t>
            </w:r>
          </w:p>
        </w:tc>
        <w:tc>
          <w:tcPr>
            <w:tcW w:w="2970" w:type="dxa"/>
          </w:tcPr>
          <w:p w:rsidR="00863F0A" w:rsidRDefault="00863F0A" w:rsidP="00863F0A">
            <w:pPr>
              <w:jc w:val="center"/>
            </w:pPr>
          </w:p>
        </w:tc>
      </w:tr>
      <w:tr w:rsidR="00BB0939" w:rsidTr="00BD2A55">
        <w:tc>
          <w:tcPr>
            <w:tcW w:w="4835" w:type="dxa"/>
          </w:tcPr>
          <w:p w:rsidR="00BB0939" w:rsidRPr="00340228" w:rsidRDefault="00BB0939" w:rsidP="00BB0939">
            <w:pPr>
              <w:jc w:val="center"/>
              <w:rPr>
                <w:strike/>
              </w:rPr>
            </w:pPr>
            <w:r w:rsidRPr="00340228">
              <w:rPr>
                <w:strike/>
              </w:rPr>
              <w:t>The Boys Of San Joaquin</w:t>
            </w:r>
          </w:p>
        </w:tc>
        <w:tc>
          <w:tcPr>
            <w:tcW w:w="2545" w:type="dxa"/>
          </w:tcPr>
          <w:p w:rsidR="00BB0939" w:rsidRPr="00340228" w:rsidRDefault="00BB0939" w:rsidP="00CD705C">
            <w:pPr>
              <w:jc w:val="center"/>
              <w:rPr>
                <w:strike/>
              </w:rPr>
            </w:pPr>
            <w:r w:rsidRPr="00340228">
              <w:rPr>
                <w:strike/>
              </w:rPr>
              <w:t>D. James Smith</w:t>
            </w:r>
          </w:p>
        </w:tc>
        <w:tc>
          <w:tcPr>
            <w:tcW w:w="2970" w:type="dxa"/>
          </w:tcPr>
          <w:p w:rsidR="00BB0939" w:rsidRDefault="00BB0939" w:rsidP="00BB0939"/>
        </w:tc>
      </w:tr>
      <w:tr w:rsidR="00BB0939" w:rsidTr="00BD2A55">
        <w:tc>
          <w:tcPr>
            <w:tcW w:w="4835" w:type="dxa"/>
          </w:tcPr>
          <w:p w:rsidR="00BB0939" w:rsidRDefault="00BB0939" w:rsidP="00BB0939">
            <w:pPr>
              <w:jc w:val="center"/>
            </w:pPr>
            <w:r>
              <w:t>A Christmas Carol</w:t>
            </w:r>
          </w:p>
        </w:tc>
        <w:tc>
          <w:tcPr>
            <w:tcW w:w="2545" w:type="dxa"/>
          </w:tcPr>
          <w:p w:rsidR="00BB0939" w:rsidRDefault="00BB0939" w:rsidP="00BB0939">
            <w:pPr>
              <w:jc w:val="center"/>
            </w:pPr>
            <w:r>
              <w:t>Charles Dickens</w:t>
            </w:r>
          </w:p>
        </w:tc>
        <w:tc>
          <w:tcPr>
            <w:tcW w:w="2970" w:type="dxa"/>
          </w:tcPr>
          <w:p w:rsidR="00BB0939" w:rsidRDefault="00BB0939" w:rsidP="00BB0939">
            <w:pPr>
              <w:jc w:val="center"/>
            </w:pPr>
            <w:r>
              <w:t>Preswick House, 2005</w:t>
            </w:r>
          </w:p>
        </w:tc>
      </w:tr>
    </w:tbl>
    <w:p w:rsidR="00863F0A" w:rsidRDefault="00863F0A" w:rsidP="00863F0A">
      <w:pPr>
        <w:jc w:val="center"/>
      </w:pPr>
    </w:p>
    <w:p w:rsidR="00863F0A" w:rsidRPr="00C52E14" w:rsidRDefault="00863F0A" w:rsidP="00863F0A">
      <w:pPr>
        <w:spacing w:after="0"/>
        <w:jc w:val="center"/>
        <w:rPr>
          <w:b/>
        </w:rPr>
      </w:pPr>
      <w:r w:rsidRPr="00C52E14">
        <w:rPr>
          <w:b/>
        </w:rPr>
        <w:t xml:space="preserve">Play Money </w:t>
      </w:r>
      <w:r w:rsidR="00BB0939" w:rsidRPr="00C52E14">
        <w:rPr>
          <w:b/>
        </w:rPr>
        <w:t>Set -</w:t>
      </w:r>
      <w:r>
        <w:rPr>
          <w:b/>
        </w:rPr>
        <w:t xml:space="preserve"> </w:t>
      </w:r>
      <w:r w:rsidR="00BB0939">
        <w:rPr>
          <w:b/>
        </w:rPr>
        <w:t>Educational Insights</w:t>
      </w:r>
      <w:r w:rsidRPr="00C52E14">
        <w:rPr>
          <w:b/>
        </w:rPr>
        <w:t xml:space="preserve"> - 2 sets/per kit</w:t>
      </w:r>
    </w:p>
    <w:p w:rsidR="00BB0939" w:rsidRDefault="00863F0A" w:rsidP="00863F0A">
      <w:pPr>
        <w:jc w:val="center"/>
      </w:pPr>
      <w:r>
        <w:t>Includes 30 pennies, 30 nickels, 20 dimes, 15 quarters, 5 half dollars, 30 $1 bills and 20 $5 bills</w:t>
      </w:r>
    </w:p>
    <w:p w:rsidR="00863F0A" w:rsidRDefault="00863F0A" w:rsidP="00863F0A">
      <w:pPr>
        <w:jc w:val="center"/>
      </w:pPr>
      <w:r>
        <w:t>Also includes 20 $10 bills, 15 $20 bills, 10 $50 bills, and 5 $100 bills in storage tray</w:t>
      </w:r>
    </w:p>
    <w:p w:rsidR="00863F0A" w:rsidRDefault="00863F0A" w:rsidP="00863F0A">
      <w:pPr>
        <w:jc w:val="center"/>
      </w:pPr>
      <w:r>
        <w:rPr>
          <w:rFonts w:ascii="Arial" w:hAnsi="Arial" w:cs="Arial"/>
          <w:noProof/>
          <w:color w:val="111111"/>
          <w:sz w:val="20"/>
          <w:szCs w:val="20"/>
        </w:rPr>
        <w:drawing>
          <wp:inline distT="0" distB="0" distL="0" distR="0" wp14:anchorId="2CE3B2CB" wp14:editId="364EE2A0">
            <wp:extent cx="2000250" cy="1857375"/>
            <wp:effectExtent l="0" t="0" r="0" b="9525"/>
            <wp:docPr id="1" name="Picture 1" descr="http://ecx.images-amazon.com/images/I/71BgzeMP7J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71BgzeMP7JL._SL10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857375"/>
                    </a:xfrm>
                    <a:prstGeom prst="rect">
                      <a:avLst/>
                    </a:prstGeom>
                    <a:noFill/>
                    <a:ln>
                      <a:noFill/>
                    </a:ln>
                  </pic:spPr>
                </pic:pic>
              </a:graphicData>
            </a:graphic>
          </wp:inline>
        </w:drawing>
      </w:r>
    </w:p>
    <w:p w:rsidR="00863F0A" w:rsidRDefault="00863F0A" w:rsidP="00863F0A">
      <w:pPr>
        <w:jc w:val="center"/>
      </w:pPr>
    </w:p>
    <w:p w:rsidR="00863F0A" w:rsidRDefault="00863F0A" w:rsidP="00863F0A"/>
    <w:p w:rsidR="00863F0A" w:rsidRDefault="00863F0A" w:rsidP="00D6693A">
      <w:pPr>
        <w:spacing w:after="0"/>
        <w:jc w:val="center"/>
        <w:rPr>
          <w:rFonts w:ascii="Calibri" w:hAnsi="Calibri" w:cs="Calibri"/>
          <w:b/>
          <w:sz w:val="28"/>
        </w:rPr>
      </w:pPr>
    </w:p>
    <w:sectPr w:rsidR="00863F0A" w:rsidSect="00D6693A">
      <w:footerReference w:type="default" r:id="rId12"/>
      <w:headerReference w:type="first" r:id="rId13"/>
      <w:footerReference w:type="first" r:id="rId14"/>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24" w:rsidRDefault="00C12924">
      <w:pPr>
        <w:spacing w:after="0"/>
      </w:pPr>
      <w:r>
        <w:separator/>
      </w:r>
    </w:p>
  </w:endnote>
  <w:endnote w:type="continuationSeparator" w:id="0">
    <w:p w:rsidR="00C12924" w:rsidRDefault="00C12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94" w:rsidRPr="00CB13B8" w:rsidRDefault="00B95994"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94" w:rsidRPr="00D76295" w:rsidRDefault="00B95994" w:rsidP="00D76295">
    <w:pPr>
      <w:pStyle w:val="Footer"/>
      <w:jc w:val="center"/>
      <w:rPr>
        <w:sz w:val="16"/>
        <w:szCs w:val="18"/>
      </w:rPr>
    </w:pPr>
    <w:r w:rsidRPr="00D76295">
      <w:rPr>
        <w:sz w:val="16"/>
        <w:szCs w:val="18"/>
      </w:rPr>
      <w:t>Extension programs and employment are available to all without discrimination.</w:t>
    </w:r>
  </w:p>
  <w:p w:rsidR="00B95994" w:rsidRPr="00D76295" w:rsidRDefault="00B95994"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B95994" w:rsidRPr="00D76295" w:rsidRDefault="00B95994"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the </w:t>
    </w:r>
    <w:r>
      <w:rPr>
        <w:sz w:val="16"/>
        <w:szCs w:val="18"/>
      </w:rPr>
      <w:t xml:space="preserve"> </w:t>
    </w:r>
    <w:r w:rsidRPr="00D76295">
      <w:rPr>
        <w:sz w:val="16"/>
        <w:szCs w:val="18"/>
      </w:rPr>
      <w:t>U.S. Department of Agriculture.</w:t>
    </w:r>
  </w:p>
  <w:p w:rsidR="00B95994" w:rsidRPr="00D76295" w:rsidRDefault="00B95994"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24" w:rsidRDefault="00C12924">
      <w:pPr>
        <w:spacing w:after="0"/>
      </w:pPr>
      <w:r>
        <w:separator/>
      </w:r>
    </w:p>
  </w:footnote>
  <w:footnote w:type="continuationSeparator" w:id="0">
    <w:p w:rsidR="00C12924" w:rsidRDefault="00C129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94" w:rsidRDefault="00B95994">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0"/>
  </w:num>
  <w:num w:numId="7">
    <w:abstractNumId w:val="2"/>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0574"/>
    <w:rsid w:val="000030E8"/>
    <w:rsid w:val="000E21BF"/>
    <w:rsid w:val="001272E9"/>
    <w:rsid w:val="00217B91"/>
    <w:rsid w:val="0024094A"/>
    <w:rsid w:val="0024220E"/>
    <w:rsid w:val="00340228"/>
    <w:rsid w:val="0034268B"/>
    <w:rsid w:val="0039680E"/>
    <w:rsid w:val="00422130"/>
    <w:rsid w:val="00424F86"/>
    <w:rsid w:val="00437738"/>
    <w:rsid w:val="004D59BC"/>
    <w:rsid w:val="006D4F31"/>
    <w:rsid w:val="007766DF"/>
    <w:rsid w:val="00824768"/>
    <w:rsid w:val="00863F0A"/>
    <w:rsid w:val="008F1234"/>
    <w:rsid w:val="009355A5"/>
    <w:rsid w:val="00952315"/>
    <w:rsid w:val="009870D9"/>
    <w:rsid w:val="009E1084"/>
    <w:rsid w:val="00A06775"/>
    <w:rsid w:val="00A32CB5"/>
    <w:rsid w:val="00A478F1"/>
    <w:rsid w:val="00B462A0"/>
    <w:rsid w:val="00B643BE"/>
    <w:rsid w:val="00B95994"/>
    <w:rsid w:val="00BB0939"/>
    <w:rsid w:val="00BD2A55"/>
    <w:rsid w:val="00BF2DE9"/>
    <w:rsid w:val="00C12924"/>
    <w:rsid w:val="00C34A2F"/>
    <w:rsid w:val="00C37BCA"/>
    <w:rsid w:val="00CB13B8"/>
    <w:rsid w:val="00CD705C"/>
    <w:rsid w:val="00D5449E"/>
    <w:rsid w:val="00D6693A"/>
    <w:rsid w:val="00D70AFB"/>
    <w:rsid w:val="00D76295"/>
    <w:rsid w:val="00DD34EA"/>
    <w:rsid w:val="00DE4D90"/>
    <w:rsid w:val="00DE5A7D"/>
    <w:rsid w:val="00E87821"/>
    <w:rsid w:val="00EC08F1"/>
    <w:rsid w:val="00EE26D4"/>
    <w:rsid w:val="00EE5D07"/>
    <w:rsid w:val="00EF6A93"/>
    <w:rsid w:val="00F136AF"/>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8CB433C-47B0-4D09-A426-11AD86C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863F0A"/>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3.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4.xml><?xml version="1.0" encoding="utf-8"?>
<ds:datastoreItem xmlns:ds="http://schemas.openxmlformats.org/officeDocument/2006/customXml" ds:itemID="{3A15B7B3-FC5F-4CB3-B6F1-D91BB926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Burbach</dc:creator>
  <cp:lastModifiedBy>Leslie Crandall</cp:lastModifiedBy>
  <cp:revision>11</cp:revision>
  <dcterms:created xsi:type="dcterms:W3CDTF">2015-01-19T15:26:00Z</dcterms:created>
  <dcterms:modified xsi:type="dcterms:W3CDTF">2015-09-14T14:00:00Z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